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center"/>
        <w:spacing w:before="75" w:beforeAutospacing="0" w:after="75" w:afterAutospacing="0"/>
        <w:widowControl/>
        <w:rPr>
          <w:rStyle w:val="857"/>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7"/>
        <w:jc w:val="center"/>
        <w:spacing w:before="75" w:beforeAutospacing="0" w:after="75" w:afterAutospacing="0"/>
        <w:widowControl/>
        <w:rPr>
          <w:rStyle w:val="857"/>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7"/>
        <w:jc w:val="center"/>
        <w:spacing w:before="75" w:beforeAutospacing="0" w:after="75" w:afterAutospacing="0"/>
        <w:widowControl/>
        <w:rPr>
          <w:rStyle w:val="857"/>
          <w:rFonts w:hint="eastAsia" w:ascii="宋体" w:hAnsi="宋体" w:eastAsia="宋体" w:cs="宋体"/>
          <w:color w:val="auto"/>
          <w:sz w:val="72"/>
          <w:szCs w:val="72"/>
          <w:highlight w:val="none"/>
        </w:rPr>
      </w:pPr>
      <w:r>
        <w:rPr>
          <w:rStyle w:val="857"/>
          <w:rFonts w:hint="eastAsia" w:ascii="宋体" w:hAnsi="宋体" w:eastAsia="宋体" w:cs="宋体"/>
          <w:color w:val="auto"/>
          <w:sz w:val="72"/>
          <w:szCs w:val="72"/>
          <w:highlight w:val="none"/>
        </w:rPr>
        <w:t xml:space="preserve">苏州市</w:t>
      </w:r>
      <w:r>
        <w:rPr>
          <w:rStyle w:val="857"/>
          <w:rFonts w:hint="eastAsia" w:ascii="宋体" w:hAnsi="宋体" w:cs="宋体"/>
          <w:color w:val="auto"/>
          <w:sz w:val="72"/>
          <w:szCs w:val="72"/>
          <w:highlight w:val="none"/>
          <w:lang w:val="en-US" w:eastAsia="zh-CN"/>
        </w:rPr>
        <w:t xml:space="preserve">姑苏区</w:t>
      </w:r>
      <w:r>
        <w:rPr>
          <w:rStyle w:val="857"/>
          <w:rFonts w:hint="eastAsia" w:ascii="宋体" w:hAnsi="宋体" w:eastAsia="宋体" w:cs="宋体"/>
          <w:color w:val="auto"/>
          <w:sz w:val="72"/>
          <w:szCs w:val="72"/>
          <w:highlight w:val="none"/>
        </w:rPr>
        <w:t xml:space="preserve">政府采购</w:t>
      </w:r>
      <w:r/>
    </w:p>
    <w:p>
      <w:pPr>
        <w:pStyle w:val="887"/>
        <w:jc w:val="center"/>
        <w:spacing w:before="75" w:beforeAutospacing="0" w:after="75" w:afterAutospacing="0"/>
        <w:widowControl/>
        <w:rPr>
          <w:rStyle w:val="857"/>
          <w:rFonts w:hint="eastAsia" w:ascii="宋体" w:hAnsi="宋体" w:eastAsia="宋体" w:cs="宋体"/>
          <w:color w:val="auto"/>
          <w:sz w:val="72"/>
          <w:szCs w:val="72"/>
          <w:highlight w:val="none"/>
        </w:rPr>
      </w:pPr>
      <w:r>
        <w:rPr>
          <w:rStyle w:val="857"/>
          <w:rFonts w:hint="eastAsia" w:ascii="宋体" w:hAnsi="宋体" w:cs="宋体"/>
          <w:color w:val="auto"/>
          <w:sz w:val="72"/>
          <w:szCs w:val="72"/>
          <w:highlight w:val="none"/>
          <w:lang w:val="en-US" w:eastAsia="zh-CN"/>
        </w:rPr>
        <w:t xml:space="preserve">货物类</w:t>
      </w:r>
      <w:r>
        <w:rPr>
          <w:rStyle w:val="857"/>
          <w:rFonts w:hint="eastAsia" w:ascii="宋体" w:hAnsi="宋体" w:eastAsia="宋体" w:cs="宋体"/>
          <w:color w:val="auto"/>
          <w:sz w:val="72"/>
          <w:szCs w:val="72"/>
          <w:highlight w:val="none"/>
        </w:rPr>
        <w:t xml:space="preserve">公开招标项目</w:t>
      </w:r>
      <w:r/>
    </w:p>
    <w:p>
      <w:pPr>
        <w:pStyle w:val="887"/>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7"/>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spacing w:before="75" w:beforeAutospacing="0" w:after="75" w:afterAutospacing="0"/>
        <w:widowControl/>
        <w:rPr>
          <w:rStyle w:val="857"/>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7"/>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ind w:firstLine="1205"/>
        <w:spacing w:before="75" w:beforeAutospacing="0" w:after="75" w:afterAutospacing="0"/>
        <w:widowControl/>
        <w:rPr>
          <w:rStyle w:val="857"/>
          <w:rFonts w:hint="eastAsia" w:ascii="宋体" w:hAnsi="宋体" w:eastAsia="宋体" w:cs="宋体"/>
          <w:color w:val="auto"/>
          <w:sz w:val="30"/>
          <w:szCs w:val="30"/>
          <w:highlight w:val="none"/>
        </w:rPr>
      </w:pPr>
      <w:r>
        <w:rPr>
          <w:rStyle w:val="857"/>
          <w:rFonts w:hint="eastAsia" w:ascii="宋体" w:hAnsi="宋体" w:eastAsia="宋体" w:cs="宋体"/>
          <w:color w:val="auto"/>
          <w:sz w:val="30"/>
          <w:szCs w:val="30"/>
          <w:highlight w:val="none"/>
        </w:rPr>
        <w:t xml:space="preserve">采购编号：</w:t>
      </w:r>
      <w:r>
        <w:rPr>
          <w:rStyle w:val="857"/>
          <w:rFonts w:hint="eastAsia" w:ascii="宋体" w:hAnsi="宋体" w:eastAsia="宋体" w:cs="宋体"/>
          <w:color w:val="auto"/>
          <w:sz w:val="30"/>
          <w:szCs w:val="30"/>
          <w:highlight w:val="none"/>
          <w:u w:val="single"/>
        </w:rPr>
        <w:t xml:space="preserve">  </w:t>
      </w:r>
      <w:r>
        <w:rPr>
          <w:rStyle w:val="857"/>
          <w:rFonts w:hint="eastAsia" w:ascii="宋体" w:hAnsi="宋体" w:cs="宋体"/>
          <w:color w:val="auto"/>
          <w:sz w:val="30"/>
          <w:szCs w:val="30"/>
          <w:highlight w:val="none"/>
          <w:u w:val="single"/>
          <w:lang w:eastAsia="zh-CN"/>
        </w:rPr>
        <w:t xml:space="preserve">JSZC-320508-SZRQ-G2025-0027</w:t>
      </w:r>
      <w:r>
        <w:rPr>
          <w:rStyle w:val="857"/>
          <w:rFonts w:hint="eastAsia" w:ascii="宋体" w:hAnsi="宋体" w:eastAsia="宋体" w:cs="宋体"/>
          <w:color w:val="auto"/>
          <w:sz w:val="30"/>
          <w:szCs w:val="30"/>
          <w:highlight w:val="none"/>
          <w:u w:val="single"/>
        </w:rPr>
        <w:t xml:space="preserve">  </w:t>
      </w:r>
      <w:r/>
    </w:p>
    <w:p>
      <w:pPr>
        <w:pStyle w:val="887"/>
        <w:ind w:firstLine="1205"/>
        <w:spacing w:before="75" w:beforeAutospacing="0" w:after="75" w:afterAutospacing="0"/>
        <w:widowControl/>
        <w:rPr>
          <w:rFonts w:hint="eastAsia" w:ascii="宋体" w:hAnsi="宋体" w:eastAsia="宋体" w:cs="宋体"/>
          <w:color w:val="auto"/>
          <w:highlight w:val="none"/>
        </w:rPr>
      </w:pPr>
      <w:r>
        <w:rPr>
          <w:rStyle w:val="857"/>
          <w:rFonts w:hint="eastAsia" w:ascii="宋体" w:hAnsi="宋体" w:eastAsia="宋体" w:cs="宋体"/>
          <w:color w:val="auto"/>
          <w:sz w:val="30"/>
          <w:szCs w:val="30"/>
          <w:highlight w:val="none"/>
        </w:rPr>
        <w:t xml:space="preserve">项目名称：</w:t>
      </w:r>
      <w:r>
        <w:rPr>
          <w:rStyle w:val="857"/>
          <w:rFonts w:hint="eastAsia" w:ascii="宋体" w:hAnsi="宋体" w:eastAsia="宋体" w:cs="宋体"/>
          <w:color w:val="auto"/>
          <w:sz w:val="30"/>
          <w:szCs w:val="30"/>
          <w:highlight w:val="none"/>
          <w:u w:val="single"/>
        </w:rPr>
        <w:t xml:space="preserve"> </w:t>
      </w:r>
      <w:r>
        <w:rPr>
          <w:rStyle w:val="857"/>
          <w:rFonts w:hint="eastAsia" w:ascii="宋体" w:hAnsi="宋体" w:cs="宋体"/>
          <w:color w:val="auto"/>
          <w:sz w:val="30"/>
          <w:szCs w:val="30"/>
          <w:highlight w:val="none"/>
          <w:u w:val="single"/>
          <w:lang w:eastAsia="zh-CN"/>
        </w:rPr>
        <w:t xml:space="preserve">苏州市姑苏区沧浪实验幼儿园玩具项目</w:t>
      </w:r>
      <w:r>
        <w:rPr>
          <w:rStyle w:val="857"/>
          <w:rFonts w:hint="eastAsia" w:ascii="宋体" w:hAnsi="宋体" w:eastAsia="宋体" w:cs="宋体"/>
          <w:color w:val="auto"/>
          <w:sz w:val="30"/>
          <w:szCs w:val="30"/>
          <w:highlight w:val="none"/>
          <w:u w:val="single"/>
        </w:rPr>
        <w:t xml:space="preserve">   </w:t>
      </w:r>
      <w:r/>
    </w:p>
    <w:p>
      <w:pPr>
        <w:pStyle w:val="887"/>
        <w:ind w:firstLine="1205"/>
        <w:spacing w:before="75" w:beforeAutospacing="0" w:after="75" w:afterAutospacing="0"/>
        <w:widowControl/>
        <w:rPr>
          <w:rFonts w:hint="eastAsia" w:ascii="宋体" w:hAnsi="宋体" w:eastAsia="宋体" w:cs="宋体"/>
          <w:color w:val="auto"/>
          <w:highlight w:val="none"/>
        </w:rPr>
      </w:pPr>
      <w:r>
        <w:rPr>
          <w:rStyle w:val="857"/>
          <w:rFonts w:hint="eastAsia" w:ascii="宋体" w:hAnsi="宋体" w:eastAsia="宋体" w:cs="宋体"/>
          <w:color w:val="auto"/>
          <w:sz w:val="30"/>
          <w:szCs w:val="30"/>
          <w:highlight w:val="none"/>
        </w:rPr>
        <w:t xml:space="preserve">采 购 人：</w:t>
      </w:r>
      <w:r>
        <w:rPr>
          <w:rStyle w:val="857"/>
          <w:rFonts w:hint="eastAsia" w:ascii="宋体" w:hAnsi="宋体" w:eastAsia="宋体" w:cs="宋体"/>
          <w:color w:val="auto"/>
          <w:sz w:val="30"/>
          <w:szCs w:val="30"/>
          <w:highlight w:val="none"/>
          <w:u w:val="single"/>
        </w:rPr>
        <w:t xml:space="preserve">  </w:t>
      </w:r>
      <w:r>
        <w:rPr>
          <w:rStyle w:val="857"/>
          <w:rFonts w:hint="eastAsia" w:ascii="宋体" w:hAnsi="宋体" w:cs="宋体"/>
          <w:color w:val="auto"/>
          <w:sz w:val="30"/>
          <w:szCs w:val="30"/>
          <w:highlight w:val="none"/>
          <w:u w:val="single"/>
          <w:lang w:eastAsia="zh-CN"/>
        </w:rPr>
        <w:t xml:space="preserve">苏州市姑苏区沧浪实验幼儿园</w:t>
      </w:r>
      <w:r>
        <w:rPr>
          <w:rStyle w:val="857"/>
          <w:rFonts w:hint="eastAsia" w:ascii="宋体" w:hAnsi="宋体" w:eastAsia="宋体" w:cs="宋体"/>
          <w:color w:val="auto"/>
          <w:sz w:val="30"/>
          <w:szCs w:val="30"/>
          <w:highlight w:val="none"/>
          <w:u w:val="single"/>
        </w:rPr>
        <w:t xml:space="preserve">     </w:t>
      </w:r>
      <w:r/>
    </w:p>
    <w:p>
      <w:pPr>
        <w:pStyle w:val="887"/>
        <w:ind w:firstLine="1205"/>
        <w:spacing w:before="75" w:beforeAutospacing="0" w:after="75" w:afterAutospacing="0"/>
        <w:widowControl/>
        <w:rPr>
          <w:rStyle w:val="857"/>
          <w:rFonts w:hint="eastAsia" w:ascii="宋体" w:hAnsi="宋体" w:eastAsia="宋体" w:cs="宋体"/>
          <w:color w:val="auto"/>
          <w:sz w:val="30"/>
          <w:szCs w:val="30"/>
          <w:highlight w:val="none"/>
        </w:rPr>
      </w:pPr>
      <w:r>
        <w:rPr>
          <w:rStyle w:val="857"/>
          <w:rFonts w:hint="eastAsia" w:ascii="宋体" w:hAnsi="宋体" w:eastAsia="宋体" w:cs="宋体"/>
          <w:color w:val="auto"/>
          <w:sz w:val="30"/>
          <w:szCs w:val="30"/>
          <w:highlight w:val="none"/>
        </w:rPr>
        <w:t xml:space="preserve">采购代理机构：</w:t>
      </w:r>
      <w:r>
        <w:rPr>
          <w:rStyle w:val="857"/>
          <w:rFonts w:hint="eastAsia" w:ascii="宋体" w:hAnsi="宋体" w:eastAsia="宋体" w:cs="宋体"/>
          <w:color w:val="auto"/>
          <w:sz w:val="30"/>
          <w:szCs w:val="30"/>
          <w:highlight w:val="none"/>
          <w:u w:val="single"/>
        </w:rPr>
        <w:t xml:space="preserve">苏州睿乔招投标咨询服务有限公司    </w:t>
      </w:r>
      <w:r/>
    </w:p>
    <w:p>
      <w:pPr>
        <w:pStyle w:val="887"/>
        <w:ind w:firstLine="1205"/>
        <w:spacing w:before="75" w:beforeAutospacing="0" w:after="75" w:afterAutospacing="0"/>
        <w:widowControl/>
        <w:rPr>
          <w:rFonts w:hint="eastAsia" w:ascii="宋体" w:hAnsi="宋体" w:eastAsia="宋体" w:cs="宋体"/>
          <w:color w:val="auto"/>
          <w:highlight w:val="none"/>
        </w:rPr>
      </w:pPr>
      <w:r>
        <w:rPr>
          <w:rStyle w:val="857"/>
          <w:rFonts w:hint="eastAsia" w:ascii="宋体" w:hAnsi="宋体" w:eastAsia="宋体" w:cs="宋体"/>
          <w:color w:val="auto"/>
          <w:sz w:val="30"/>
          <w:szCs w:val="30"/>
          <w:highlight w:val="none"/>
        </w:rPr>
        <w:t xml:space="preserve">采购类别：</w:t>
      </w:r>
      <w:r>
        <w:rPr>
          <w:rStyle w:val="857"/>
          <w:rFonts w:hint="eastAsia" w:ascii="宋体" w:hAnsi="宋体" w:eastAsia="宋体" w:cs="宋体"/>
          <w:color w:val="auto"/>
          <w:sz w:val="30"/>
          <w:szCs w:val="30"/>
          <w:highlight w:val="none"/>
          <w:u w:val="single"/>
        </w:rPr>
        <w:t xml:space="preserve">  </w:t>
      </w:r>
      <w:r>
        <w:rPr>
          <w:rStyle w:val="857"/>
          <w:rFonts w:hint="eastAsia" w:ascii="宋体" w:hAnsi="宋体" w:cs="宋体"/>
          <w:color w:val="auto"/>
          <w:sz w:val="30"/>
          <w:szCs w:val="30"/>
          <w:highlight w:val="none"/>
          <w:u w:val="single"/>
          <w:lang w:val="en-US" w:eastAsia="zh-CN"/>
        </w:rPr>
        <w:t xml:space="preserve">货物</w:t>
      </w:r>
      <w:r>
        <w:rPr>
          <w:rStyle w:val="857"/>
          <w:rFonts w:hint="eastAsia" w:ascii="宋体" w:hAnsi="宋体" w:eastAsia="宋体" w:cs="宋体"/>
          <w:color w:val="auto"/>
          <w:sz w:val="30"/>
          <w:szCs w:val="30"/>
          <w:highlight w:val="none"/>
          <w:u w:val="single"/>
        </w:rPr>
        <w:t xml:space="preserve">类   </w:t>
      </w:r>
      <w:r/>
    </w:p>
    <w:p>
      <w:pPr>
        <w:pStyle w:val="887"/>
        <w:spacing w:before="75" w:beforeAutospacing="0" w:after="75" w:afterAutospacing="0"/>
        <w:widowControl/>
        <w:rPr>
          <w:rStyle w:val="857"/>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p>
    <w:p>
      <w:pPr>
        <w:pStyle w:val="887"/>
        <w:jc w:val="center"/>
        <w:spacing w:before="75" w:beforeAutospacing="0" w:after="75" w:afterAutospacing="0"/>
        <w:widowControl/>
        <w:rPr>
          <w:rStyle w:val="857"/>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7"/>
        <w:jc w:val="both"/>
        <w:spacing w:before="75" w:beforeAutospacing="0" w:after="75" w:afterAutospacing="0"/>
        <w:widowControl/>
        <w:rPr>
          <w:rStyle w:val="857"/>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7"/>
        <w:jc w:val="both"/>
        <w:spacing w:before="75" w:beforeAutospacing="0" w:after="75" w:afterAutospacing="0"/>
        <w:widowControl/>
        <w:rPr>
          <w:rStyle w:val="857"/>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7"/>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669"/>
        <w:tblW w:w="90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JSZC-320508-SZRQ-G2025-0027</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苏州市姑苏区沧浪实验幼儿园玩具项目</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项目预算金额：</w:t>
            </w:r>
            <w:r>
              <w:rPr>
                <w:rFonts w:hint="eastAsia" w:ascii="宋体" w:hAnsi="宋体" w:cs="宋体"/>
                <w:color w:val="auto"/>
                <w:sz w:val="24"/>
                <w:highlight w:val="none"/>
                <w:lang w:eastAsia="zh-CN"/>
              </w:rPr>
              <w:t xml:space="preserve">捌拾伍万元整（￥850000.00）</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苏州市姑苏区沧浪实验幼儿园</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苏州市姑苏区东后庄巷170号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陈丽芳</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（0512）65238820</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李也菲、曹玲</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投标有效期：提交投标文件截止之日起　　</w:t>
            </w:r>
            <w:r>
              <w:rPr>
                <w:rFonts w:hint="eastAsia" w:ascii="宋体" w:hAnsi="宋体" w:eastAsia="宋体" w:cs="宋体"/>
                <w:color w:val="auto"/>
                <w:sz w:val="24"/>
                <w:highlight w:val="none"/>
              </w:rPr>
              <w:t xml:space="preserve">45</w:t>
            </w:r>
            <w:r>
              <w:rPr>
                <w:rFonts w:hint="eastAsia" w:ascii="宋体" w:hAnsi="宋体" w:eastAsia="宋体" w:cs="宋体"/>
                <w:color w:val="auto"/>
                <w:sz w:val="24"/>
                <w:highlight w:val="none"/>
                <w:lang w:val="zh-CN"/>
              </w:rPr>
              <w:t xml:space="preserve">　　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网上报名截止时间：202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11月17日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12月1日13:30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12月1日13:30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rPr>
              <w:t xml:space="preserve">地点：“苏采云”政府采购</w:t>
            </w:r>
            <w:bookmarkStart w:id="54" w:name="_GoBack"/>
            <w:r/>
            <w:bookmarkEnd w:id="54"/>
            <w:r>
              <w:rPr>
                <w:rFonts w:hint="eastAsia" w:ascii="宋体" w:hAnsi="宋体" w:eastAsia="宋体" w:cs="宋体"/>
                <w:color w:val="auto"/>
                <w:sz w:val="24"/>
                <w:highlight w:val="none"/>
              </w:rPr>
              <w:t xml:space="preserve">交易系统网上开标大厅。</w:t>
            </w:r>
            <w:r/>
          </w:p>
          <w:p>
            <w:pP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本项目为不见面</w:t>
            </w: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highlight w:val="none"/>
              </w:rPr>
              <w:t xml:space="preserve">“苏采云”系统（网址：http://jszfcg.jsczt.cn/）</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p>
        </w:tc>
        <w:tc>
          <w:tcPr>
            <w:tcW w:w="8041"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服务费：</w:t>
            </w:r>
            <w:r>
              <w:rPr>
                <w:rFonts w:hint="eastAsia" w:ascii="宋体" w:hAnsi="宋体" w:eastAsia="宋体" w:cs="宋体"/>
                <w:bCs/>
                <w:color w:val="auto"/>
                <w:sz w:val="24"/>
                <w:highlight w:val="none"/>
              </w:rPr>
              <w:t xml:space="preserve">根据苏财购告【2017】23号文件的收取中标服务费。由中标供应商支付，按照采购预算100万元以内1.5%、100～500万元以1.1%、500~1000万元以0.8%，1000万元~5000万元以0.5%，差额定率累进法计算并支付中标服务费。本项目代理服务费按人民币￥</w:t>
            </w:r>
            <w:r>
              <w:rPr>
                <w:rFonts w:hint="eastAsia" w:ascii="宋体" w:hAnsi="宋体" w:cs="宋体"/>
                <w:bCs/>
                <w:color w:val="auto"/>
                <w:sz w:val="24"/>
                <w:highlight w:val="none"/>
                <w:lang w:val="en-US" w:eastAsia="zh-CN"/>
              </w:rPr>
              <w:t xml:space="preserve">12750.00</w:t>
            </w:r>
            <w:r>
              <w:rPr>
                <w:rFonts w:hint="eastAsia" w:ascii="宋体" w:hAnsi="宋体" w:eastAsia="宋体" w:cs="宋体"/>
                <w:bCs/>
                <w:color w:val="auto"/>
                <w:sz w:val="24"/>
                <w:highlight w:val="none"/>
              </w:rPr>
              <w:t xml:space="preserve">计收。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号：1102020209000937813</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0</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评标方法：综合评分法</w:t>
            </w:r>
            <w:r/>
          </w:p>
        </w:tc>
      </w:tr>
    </w:tbl>
    <w:p>
      <w:pPr>
        <w:pStyle w:val="887"/>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704"/>
        <w:rPr>
          <w:rFonts w:hint="eastAsia"/>
          <w:color w:val="auto"/>
          <w:highlight w:val="none"/>
        </w:rPr>
      </w:pPr>
      <w:r>
        <w:rPr>
          <w:rFonts w:hint="eastAsia"/>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81"/>
        <w:spacing w:after="312" w:line="480" w:lineRule="auto"/>
        <w:tabs>
          <w:tab w:val="right" w:pos="8302" w:leader="dot"/>
        </w:tabs>
        <w:rPr>
          <w:rFonts w:hint="default" w:ascii="宋体" w:hAnsi="宋体" w:eastAsia="宋体" w:cs="宋体"/>
          <w:color w:val="auto"/>
          <w:sz w:val="36"/>
          <w:szCs w:val="24"/>
          <w:highlight w:val="none"/>
          <w:lang w:val="en-US" w:eastAsia="zh-CN"/>
        </w:rPr>
      </w:pPr>
      <w:r>
        <w:rPr>
          <w:rFonts w:hint="eastAsia" w:ascii="宋体" w:hAnsi="宋体" w:eastAsia="宋体" w:cs="宋体"/>
          <w:color w:val="auto"/>
          <w:sz w:val="36"/>
          <w:szCs w:val="24"/>
          <w:highlight w:val="none"/>
        </w:rPr>
        <w:t xml:space="preserve">第一章  </w:t>
      </w:r>
      <w:r>
        <w:rPr>
          <w:rFonts w:hint="eastAsia" w:ascii="宋体" w:hAnsi="宋体" w:eastAsia="宋体" w:cs="宋体"/>
          <w:color w:val="auto"/>
          <w:sz w:val="36"/>
          <w:szCs w:val="24"/>
          <w:highlight w:val="none"/>
          <w:lang w:val="en-US" w:eastAsia="zh-CN"/>
        </w:rPr>
        <w:t xml:space="preserve">招标公告</w:t>
      </w:r>
      <w:r/>
    </w:p>
    <w:p>
      <w:pPr>
        <w:pStyle w:val="88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88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88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88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88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7"/>
        <w:jc w:val="center"/>
        <w:spacing w:before="75" w:beforeAutospacing="0" w:after="75" w:afterAutospacing="0" w:line="405" w:lineRule="atLeast"/>
        <w:widowControl/>
        <w:rPr>
          <w:rFonts w:hint="default" w:ascii="宋体" w:hAnsi="宋体" w:eastAsia="宋体" w:cs="宋体"/>
          <w:color w:val="auto"/>
          <w:highlight w:val="none"/>
          <w:lang w:val="en-US" w:eastAsia="zh-CN"/>
        </w:rPr>
      </w:pPr>
      <w:r>
        <w:rPr>
          <w:rFonts w:hint="eastAsia" w:ascii="宋体" w:hAnsi="宋体" w:eastAsia="宋体" w:cs="宋体"/>
          <w:color w:val="auto"/>
          <w:sz w:val="36"/>
          <w:highlight w:val="none"/>
        </w:rPr>
        <w:t xml:space="preserve">第一章  </w:t>
      </w:r>
      <w:r>
        <w:rPr>
          <w:rFonts w:hint="eastAsia" w:ascii="宋体" w:hAnsi="宋体" w:cs="宋体"/>
          <w:color w:val="auto"/>
          <w:sz w:val="36"/>
          <w:highlight w:val="none"/>
          <w:lang w:val="en-US" w:eastAsia="zh-CN"/>
        </w:rPr>
        <w:t xml:space="preserve">招标公告</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苏州市姑苏区沧浪实验幼儿园玩具项目</w:t>
      </w:r>
      <w:r>
        <w:rPr>
          <w:rFonts w:hint="eastAsia" w:ascii="宋体" w:hAnsi="宋体" w:eastAsia="宋体" w:cs="宋体"/>
          <w:color w:val="auto"/>
          <w:sz w:val="24"/>
          <w:highlight w:val="none"/>
        </w:rPr>
        <w:t xml:space="preserve">招标项目的潜在投标人应在</w:t>
      </w:r>
      <w:r>
        <w:rPr>
          <w:rFonts w:hint="eastAsia" w:ascii="宋体" w:hAnsi="宋体"/>
          <w:color w:val="auto"/>
          <w:sz w:val="24"/>
          <w:highlight w:val="none"/>
          <w:u w:val="single"/>
        </w:rPr>
        <w:t xml:space="preserve">苏采云系统</w:t>
      </w:r>
      <w:r>
        <w:rPr>
          <w:rFonts w:hint="eastAsia" w:ascii="宋体" w:hAnsi="宋体"/>
          <w:color w:val="auto"/>
          <w:sz w:val="24"/>
          <w:highlight w:val="none"/>
          <w:u w:val="none"/>
        </w:rPr>
        <w:t xml:space="preserve">中</w:t>
      </w:r>
      <w:r>
        <w:rPr>
          <w:rFonts w:hint="eastAsia" w:ascii="宋体" w:hAnsi="宋体" w:eastAsia="宋体" w:cs="宋体"/>
          <w:color w:val="auto"/>
          <w:sz w:val="24"/>
          <w:highlight w:val="none"/>
          <w:lang w:eastAsia="zh-CN"/>
        </w:rPr>
        <w:t xml:space="preserve">自行免费</w:t>
      </w:r>
      <w:r>
        <w:rPr>
          <w:rFonts w:hint="eastAsia" w:ascii="宋体" w:hAnsi="宋体" w:eastAsia="宋体" w:cs="宋体"/>
          <w:color w:val="auto"/>
          <w:sz w:val="24"/>
          <w:highlight w:val="none"/>
          <w:lang w:val="en-US" w:eastAsia="zh-CN"/>
        </w:rPr>
        <w:t xml:space="preserve">下载采购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，并于</w:t>
      </w:r>
      <w:r>
        <w:rPr>
          <w:rFonts w:hint="eastAsia" w:ascii="宋体" w:hAnsi="宋体" w:cs="宋体"/>
          <w:color w:val="auto"/>
          <w:sz w:val="24"/>
          <w:highlight w:val="none"/>
          <w:u w:val="single"/>
          <w:lang w:eastAsia="zh-CN"/>
        </w:rPr>
        <w:t xml:space="preserve">2025年</w:t>
      </w:r>
      <w:r>
        <w:rPr>
          <w:rFonts w:hint="eastAsia" w:ascii="宋体" w:hAnsi="宋体" w:cs="宋体"/>
          <w:color w:val="auto"/>
          <w:sz w:val="24"/>
          <w:highlight w:val="none"/>
          <w:u w:val="single"/>
          <w:lang w:val="en-US" w:eastAsia="zh-CN"/>
        </w:rPr>
        <w:t xml:space="preserve">12月1日13:30</w:t>
      </w: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rPr>
        <w:t xml:space="preserve">北京时间）前递交投标文件</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0" w:name="_Toc28359079"/>
      <w:r/>
      <w:bookmarkStart w:id="1" w:name="_Toc28359002"/>
      <w:r/>
      <w:bookmarkStart w:id="2" w:name="_Toc35393621"/>
      <w:r/>
      <w:bookmarkStart w:id="3" w:name="_Toc35393790"/>
      <w:r/>
      <w:bookmarkStart w:id="4" w:name="_Hlk24379207"/>
      <w:r>
        <w:rPr>
          <w:rFonts w:hint="eastAsia" w:ascii="宋体" w:hAnsi="宋体" w:eastAsia="宋体" w:cs="宋体"/>
          <w:b/>
          <w:color w:val="auto"/>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JSZC-320508-SZRQ-G2025-0027</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bookmarkEnd w:id="4"/>
      <w:r>
        <w:rPr>
          <w:rFonts w:hint="eastAsia" w:ascii="宋体" w:hAnsi="宋体" w:cs="宋体"/>
          <w:color w:val="auto"/>
          <w:sz w:val="24"/>
          <w:highlight w:val="none"/>
          <w:lang w:eastAsia="zh-CN"/>
        </w:rPr>
        <w:t xml:space="preserve">苏州市姑苏区沧浪实验幼儿园玩具项目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采购预算：</w:t>
      </w:r>
      <w:r>
        <w:rPr>
          <w:rFonts w:hint="eastAsia" w:ascii="宋体" w:hAnsi="宋体" w:cs="宋体"/>
          <w:color w:val="auto"/>
          <w:sz w:val="24"/>
          <w:highlight w:val="none"/>
          <w:lang w:eastAsia="zh-CN"/>
        </w:rPr>
        <w:t xml:space="preserve">捌拾伍万元整（￥850000.00）</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eastAsia="zh-CN"/>
        </w:rPr>
        <w:t xml:space="preserve">捌拾伍万元整（￥850000.00）</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采购需求：详见招标文件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合同签订生效后40日内完成交货、安装工作（具体根据采购方要求）</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不</w:t>
      </w:r>
      <w:r>
        <w:rPr>
          <w:rFonts w:hint="eastAsia" w:ascii="宋体" w:hAnsi="宋体" w:eastAsia="宋体" w:cs="宋体"/>
          <w:color w:val="auto"/>
          <w:sz w:val="24"/>
          <w:highlight w:val="none"/>
        </w:rPr>
        <w:t xml:space="preserve">接受联合体投标。</w:t>
      </w:r>
      <w:r/>
    </w:p>
    <w:p>
      <w:pPr>
        <w:spacing w:line="360" w:lineRule="auto"/>
        <w:rPr>
          <w:rFonts w:hint="eastAsia" w:ascii="宋体" w:hAnsi="宋体" w:eastAsia="宋体" w:cs="宋体"/>
          <w:b/>
          <w:color w:val="auto"/>
          <w:sz w:val="24"/>
          <w:highlight w:val="none"/>
        </w:rPr>
      </w:pPr>
      <w:r/>
      <w:bookmarkStart w:id="5" w:name="_Toc35393622"/>
      <w:r/>
      <w:bookmarkStart w:id="6" w:name="_Toc28359080"/>
      <w:r/>
      <w:bookmarkStart w:id="7" w:name="_Toc35393791"/>
      <w:r/>
      <w:bookmarkStart w:id="8" w:name="_Toc28359003"/>
      <w:r>
        <w:rPr>
          <w:rFonts w:hint="eastAsia" w:ascii="宋体" w:hAnsi="宋体" w:eastAsia="宋体" w:cs="宋体"/>
          <w:b/>
          <w:color w:val="auto"/>
          <w:sz w:val="24"/>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bookmarkStart w:id="9" w:name="_Toc28359081"/>
      <w:r/>
      <w:bookmarkStart w:id="10" w:name="_Toc28359004"/>
      <w:r/>
      <w:r/>
    </w:p>
    <w:p>
      <w:pPr>
        <w:ind w:firstLine="480"/>
        <w:spacing w:line="360" w:lineRule="auto"/>
        <w:rPr>
          <w:rFonts w:hint="eastAsia" w:ascii="宋体" w:hAnsi="宋体" w:eastAsia="宋体" w:cs="宋体"/>
          <w:color w:val="auto"/>
          <w:sz w:val="24"/>
          <w:highlight w:val="none"/>
        </w:rPr>
      </w:pPr>
      <w:r/>
      <w:bookmarkStart w:id="11" w:name="_Toc35393623"/>
      <w:r/>
      <w:bookmarkStart w:id="12" w:name="_Toc35393792"/>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本项目落实政府采购政策需满足的资格要求：</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根据《政府采购促进中小企业发展管理办法》及《苏州市政府采购促进中小企业发展实施意见》的相关规定，本项目专门面向中小微企业，所属行业：工业，本项目所供货物须全部由中小微企业制造，监狱企业、残疾人福利性单位视为中小微企业。</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bookmarkEnd w:id="9"/>
      <w:r/>
      <w:bookmarkEnd w:id="10"/>
      <w:r/>
      <w:bookmarkEnd w:id="11"/>
      <w:r/>
      <w:bookmarkEnd w:id="12"/>
      <w:r/>
      <w:bookmarkStart w:id="13" w:name="_Toc28359005"/>
      <w:r/>
      <w:bookmarkStart w:id="14" w:name="_Toc28359082"/>
      <w:r/>
      <w:bookmarkStart w:id="15" w:name="_Toc35393793"/>
      <w:r/>
      <w:bookmarkStart w:id="16" w:name="_Toc35393624"/>
      <w:r>
        <w:rPr>
          <w:rFonts w:hint="eastAsia" w:ascii="宋体" w:hAnsi="宋体" w:eastAsia="宋体" w:cs="宋体"/>
          <w:b/>
          <w:color w:val="auto"/>
          <w:sz w:val="24"/>
          <w:highlight w:val="none"/>
        </w:rPr>
        <w:t xml:space="preserve">获取招标文件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报名截止时间：</w:t>
      </w:r>
      <w:r>
        <w:rPr>
          <w:rFonts w:hint="eastAsia" w:ascii="宋体" w:hAnsi="宋体" w:cs="宋体"/>
          <w:b w:val="0"/>
          <w:bCs/>
          <w:color w:val="auto"/>
          <w:sz w:val="24"/>
          <w:highlight w:val="none"/>
          <w:u w:val="single"/>
          <w:lang w:eastAsia="zh-CN"/>
        </w:rPr>
        <w:t xml:space="preserve">2025年</w:t>
      </w:r>
      <w:r>
        <w:rPr>
          <w:rFonts w:hint="eastAsia" w:ascii="宋体" w:hAnsi="宋体" w:cs="宋体"/>
          <w:b w:val="0"/>
          <w:bCs/>
          <w:color w:val="auto"/>
          <w:sz w:val="24"/>
          <w:highlight w:val="none"/>
          <w:u w:val="single"/>
          <w:lang w:val="en-US" w:eastAsia="zh-CN"/>
        </w:rPr>
        <w:t xml:space="preserve">11月17日</w:t>
      </w:r>
      <w:r>
        <w:rPr>
          <w:rFonts w:hint="eastAsia" w:ascii="宋体" w:hAnsi="宋体" w:eastAsia="宋体" w:cs="宋体"/>
          <w:bCs/>
          <w:color w:val="auto"/>
          <w:sz w:val="24"/>
          <w:highlight w:val="none"/>
          <w:u w:val="none"/>
        </w:rPr>
        <w:t xml:space="preserve">（北京时间）</w:t>
      </w:r>
      <w:r/>
    </w:p>
    <w:p>
      <w:pPr>
        <w:ind w:firstLine="480"/>
        <w:spacing w:line="360" w:lineRule="auto"/>
        <w:shd w:val="clear" w:color="auto" w:fill="ffffff"/>
        <w:widowControl/>
        <w:rPr>
          <w:rFonts w:hint="eastAsia" w:ascii="宋体" w:hAnsi="宋体" w:eastAsia="宋体" w:cs="宋体"/>
          <w:color w:val="auto"/>
          <w:sz w:val="24"/>
          <w:highlight w:val="none"/>
          <w:lang w:val="en-US" w:eastAsia="zh-CN"/>
        </w:rPr>
      </w:pPr>
      <w:r/>
      <w:bookmarkStart w:id="17" w:name="_Toc35393632"/>
      <w:r>
        <w:rPr>
          <w:rFonts w:hint="eastAsia" w:ascii="宋体" w:hAnsi="宋体" w:cs="宋体"/>
          <w:bCs/>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地点：</w:t>
      </w:r>
      <w:r>
        <w:rPr>
          <w:rFonts w:hint="eastAsia" w:ascii="宋体" w:hAnsi="宋体"/>
          <w:color w:val="auto"/>
          <w:sz w:val="24"/>
          <w:highlight w:val="none"/>
          <w:lang w:val="en-US" w:eastAsia="zh-CN"/>
        </w:rPr>
        <w:t xml:space="preserve">苏采云系统中</w:t>
      </w:r>
      <w:r>
        <w:rPr>
          <w:rFonts w:hint="eastAsia" w:ascii="宋体" w:hAnsi="宋体" w:eastAsia="宋体" w:cs="宋体"/>
          <w:color w:val="auto"/>
          <w:sz w:val="24"/>
          <w:highlight w:val="none"/>
          <w:lang w:val="en-US" w:eastAsia="zh-CN"/>
        </w:rPr>
        <w:t xml:space="preserve">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3、报名方式：自行下载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4、售价：0.00元</w:t>
      </w:r>
      <w:bookmarkEnd w:id="17"/>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四、上传投标文件</w:t>
      </w:r>
      <w:bookmarkEnd w:id="13"/>
      <w:r/>
      <w:bookmarkEnd w:id="14"/>
      <w:r>
        <w:rPr>
          <w:rFonts w:hint="eastAsia" w:ascii="宋体" w:hAnsi="宋体" w:eastAsia="宋体" w:cs="宋体"/>
          <w:b/>
          <w:color w:val="auto"/>
          <w:sz w:val="24"/>
          <w:highlight w:val="none"/>
        </w:rPr>
        <w:t xml:space="preserve">截止时间、开标时间和地点</w:t>
      </w:r>
      <w:bookmarkEnd w:id="15"/>
      <w:r/>
      <w:bookmarkEnd w:id="1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上传投标文件截止时间：</w:t>
      </w:r>
      <w:r>
        <w:rPr>
          <w:rFonts w:hint="eastAsia" w:ascii="宋体" w:hAnsi="宋体" w:cs="宋体"/>
          <w:color w:val="auto"/>
          <w:sz w:val="24"/>
          <w:highlight w:val="none"/>
          <w:u w:val="single"/>
          <w:lang w:eastAsia="zh-CN"/>
        </w:rPr>
        <w:t xml:space="preserve">2025年</w:t>
      </w:r>
      <w:r>
        <w:rPr>
          <w:rFonts w:hint="eastAsia" w:ascii="宋体" w:hAnsi="宋体" w:cs="宋体"/>
          <w:color w:val="auto"/>
          <w:sz w:val="24"/>
          <w:highlight w:val="none"/>
          <w:u w:val="single"/>
          <w:lang w:val="en-US" w:eastAsia="zh-CN"/>
        </w:rPr>
        <w:t xml:space="preserve">12月1日13:30</w:t>
      </w:r>
      <w:r>
        <w:rPr>
          <w:rFonts w:hint="eastAsia" w:ascii="宋体" w:hAnsi="宋体" w:eastAsia="宋体" w:cs="宋体"/>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u w:val="single"/>
          <w:lang w:eastAsia="zh-CN"/>
        </w:rPr>
        <w:t xml:space="preserve">2025年</w:t>
      </w:r>
      <w:r>
        <w:rPr>
          <w:rFonts w:hint="eastAsia" w:ascii="宋体" w:hAnsi="宋体" w:cs="宋体"/>
          <w:color w:val="auto"/>
          <w:sz w:val="24"/>
          <w:highlight w:val="none"/>
          <w:u w:val="single"/>
          <w:lang w:val="en-US" w:eastAsia="zh-CN"/>
        </w:rPr>
        <w:t xml:space="preserve">12月1日13:30</w:t>
      </w:r>
      <w:r>
        <w:rPr>
          <w:rFonts w:hint="eastAsia" w:ascii="宋体" w:hAnsi="宋体" w:eastAsia="宋体" w:cs="宋体"/>
          <w:bCs/>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en-US" w:eastAsia="zh-CN"/>
        </w:rPr>
        <w:t xml:space="preserve">“苏采云”系统（网址：http://jszfcg.jsczt.cn/），响应文件网上递交，不需要现场参加采购活动，无需提供纸质响应文件。</w:t>
      </w:r>
      <w:r/>
    </w:p>
    <w:p>
      <w:pPr>
        <w:ind w:firstLine="482"/>
        <w:spacing w:line="360" w:lineRule="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80"/>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80"/>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color w:val="auto"/>
          <w:sz w:val="24"/>
          <w:highlight w:val="none"/>
        </w:rPr>
      </w:pPr>
      <w:r/>
      <w:bookmarkStart w:id="18" w:name="_Toc28359007"/>
      <w:r/>
      <w:bookmarkStart w:id="19" w:name="_Toc35393625"/>
      <w:r/>
      <w:bookmarkStart w:id="20" w:name="_Toc35393794"/>
      <w:r/>
      <w:bookmarkStart w:id="21" w:name="_Toc28359084"/>
      <w:r>
        <w:rPr>
          <w:rFonts w:hint="eastAsia" w:ascii="宋体" w:hAnsi="宋体" w:eastAsia="宋体" w:cs="宋体"/>
          <w:b/>
          <w:color w:val="auto"/>
          <w:sz w:val="24"/>
          <w:highlight w:val="none"/>
        </w:rPr>
        <w:t xml:space="preserve">五、公告期限</w:t>
      </w:r>
      <w:bookmarkEnd w:id="18"/>
      <w:r/>
      <w:bookmarkEnd w:id="19"/>
      <w:r/>
      <w:bookmarkEnd w:id="20"/>
      <w:r/>
      <w:bookmarkEnd w:id="2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spacing w:line="360" w:lineRule="auto"/>
        <w:rPr>
          <w:rFonts w:hint="eastAsia" w:ascii="宋体" w:hAnsi="宋体" w:eastAsia="宋体" w:cs="宋体"/>
          <w:b/>
          <w:color w:val="auto"/>
          <w:sz w:val="24"/>
          <w:highlight w:val="none"/>
        </w:rPr>
      </w:pPr>
      <w:r/>
      <w:bookmarkStart w:id="22" w:name="_Toc35393795"/>
      <w:r/>
      <w:bookmarkStart w:id="23" w:name="_Toc35393626"/>
      <w:r>
        <w:rPr>
          <w:rFonts w:hint="eastAsia" w:ascii="宋体" w:hAnsi="宋体" w:eastAsia="宋体" w:cs="宋体"/>
          <w:b/>
          <w:color w:val="auto"/>
          <w:sz w:val="24"/>
          <w:highlight w:val="none"/>
        </w:rPr>
        <w:t xml:space="preserve">六、其他补充事宜</w:t>
      </w:r>
      <w:bookmarkEnd w:id="22"/>
      <w:r/>
      <w:bookmarkEnd w:id="23"/>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CA证书办理</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auto"/>
          <w:sz w:val="24"/>
          <w:highlight w:val="none"/>
        </w:rPr>
        <w:t xml:space="preserve">苏州现场办理地址：苏州市姑苏区平泷路251号政务服务中心4楼公共交易中心窗口，咨询电话：0512-69820834。</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参与采购活动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文件日期。供应商须打印、保留《投标供应商确认函》，质疑时《投标供应商确认函》与质疑函一并提交；未依照</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电子投标准备</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供应商在“苏采云”系统中操作成功参与项目后，必须在“已参与项目”界面中下载电子</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文件（后缀名为“.kedt”）并导入政府采购客户端工具后方可进行</w:t>
      </w:r>
      <w:r>
        <w:rPr>
          <w:rFonts w:hint="eastAsia" w:ascii="宋体" w:hAnsi="宋体"/>
          <w:color w:val="auto"/>
          <w:sz w:val="24"/>
          <w:highlight w:val="none"/>
          <w:lang w:val="en-US" w:eastAsia="zh-CN"/>
        </w:rPr>
        <w:t xml:space="preserve">电子响应</w:t>
      </w:r>
      <w:r>
        <w:rPr>
          <w:rFonts w:hint="eastAsia" w:ascii="宋体" w:hAnsi="宋体"/>
          <w:color w:val="auto"/>
          <w:sz w:val="24"/>
          <w:highlight w:val="none"/>
        </w:rPr>
        <w:t xml:space="preserve">文件制作和提交</w:t>
      </w:r>
      <w:r>
        <w:rPr>
          <w:rFonts w:hint="eastAsia" w:ascii="宋体" w:hAnsi="宋体"/>
          <w:b/>
          <w:bCs/>
          <w:color w:val="auto"/>
          <w:sz w:val="24"/>
          <w:highlight w:val="none"/>
        </w:rPr>
        <w:t xml:space="preserve">（具体详见《苏采云系统供应商操作手册》，网址链接https://czju.suzhou.gov.cn/zfcg/html/content/20231220161910031.shtml）</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（4）补充通知（如有）：成功获取招标文件的供应商应及时关注政府采购信息发布媒体上发布的更正（补充）公告，同时在“苏采云”系统中下载更正（补充）资料，</w:t>
      </w:r>
      <w:r>
        <w:rPr>
          <w:rFonts w:hint="eastAsia" w:ascii="宋体" w:hAnsi="宋体"/>
          <w:b/>
          <w:bCs/>
          <w:color w:val="auto"/>
          <w:sz w:val="24"/>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注册咨询：0512-69820854；</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CA技术咨询电话：400-608-6099；</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签章使用问题：025-83633811、025-83633812、15380932027、15371015030；</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系统使用指导与咨询：联系电话：0512-69820854；智能客服：登录苏采云系统后，联系系统右下方智能客服图标进行咨询。</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、本次采购的有关信息将在中国政府采购网中央主网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eastAsia="zh-CN"/>
        </w:rPr>
        <w:t xml:space="preserve">苏州市政府采购网</w:t>
      </w:r>
      <w:r>
        <w:rPr>
          <w:rFonts w:hint="eastAsia" w:ascii="宋体" w:hAnsi="宋体" w:cs="宋体"/>
          <w:color w:val="auto"/>
          <w:sz w:val="24"/>
          <w:highlight w:val="none"/>
        </w:rPr>
        <w:t xml:space="preserve">，敬请留意！</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苏州市姑苏区财政局监督电话：（0512）68728409</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24" w:name="_Toc35393796"/>
      <w:r/>
      <w:bookmarkStart w:id="25" w:name="_Toc35393627"/>
      <w:r/>
      <w:bookmarkStart w:id="26" w:name="_Toc28359008"/>
      <w:r/>
      <w:bookmarkStart w:id="27" w:name="_Toc28359085"/>
      <w:r>
        <w:rPr>
          <w:rFonts w:hint="eastAsia" w:ascii="宋体" w:hAnsi="宋体" w:eastAsia="宋体" w:cs="宋体"/>
          <w:b/>
          <w:color w:val="auto"/>
          <w:sz w:val="24"/>
          <w:highlight w:val="none"/>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color w:val="auto"/>
          <w:sz w:val="24"/>
          <w:highlight w:val="none"/>
        </w:rPr>
      </w:pPr>
      <w:r/>
      <w:bookmarkStart w:id="28" w:name="_Toc35393617"/>
      <w:r/>
      <w:bookmarkStart w:id="29" w:name="_Toc28359075"/>
      <w:r/>
      <w:bookmarkStart w:id="30" w:name="_Toc35393786"/>
      <w:r/>
      <w:bookmarkStart w:id="31" w:name="_Toc28358998"/>
      <w:r>
        <w:rPr>
          <w:rFonts w:hint="eastAsia" w:ascii="宋体" w:hAnsi="宋体" w:eastAsia="宋体" w:cs="宋体"/>
          <w:color w:val="auto"/>
          <w:sz w:val="24"/>
          <w:highlight w:val="none"/>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苏州市姑苏区沧浪实验幼儿园</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苏州市姑苏区东后庄巷170号</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陈丽芳</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（0512）65238820</w:t>
      </w:r>
      <w:r/>
    </w:p>
    <w:p>
      <w:pPr>
        <w:ind w:firstLine="480"/>
        <w:jc w:val="left"/>
        <w:spacing w:line="360" w:lineRule="auto"/>
        <w:widowControl/>
        <w:rPr>
          <w:rFonts w:hint="eastAsia" w:ascii="宋体" w:hAnsi="宋体" w:eastAsia="宋体" w:cs="宋体"/>
          <w:color w:val="auto"/>
          <w:sz w:val="24"/>
          <w:highlight w:val="none"/>
        </w:rPr>
      </w:pPr>
      <w:r/>
      <w:bookmarkStart w:id="32" w:name="_Toc28359077"/>
      <w:r/>
      <w:bookmarkStart w:id="33" w:name="_Toc28359000"/>
      <w:r/>
      <w:bookmarkStart w:id="34" w:name="_Toc35393788"/>
      <w:r/>
      <w:bookmarkStart w:id="35" w:name="_Toc35393619"/>
      <w:r>
        <w:rPr>
          <w:rFonts w:hint="eastAsia" w:ascii="宋体" w:hAnsi="宋体" w:eastAsia="宋体" w:cs="宋体"/>
          <w:color w:val="auto"/>
          <w:sz w:val="24"/>
          <w:highlight w:val="none"/>
        </w:rPr>
        <w:t xml:space="preserve">2.</w:t>
      </w:r>
      <w:bookmarkEnd w:id="32"/>
      <w:r/>
      <w:bookmarkEnd w:id="33"/>
      <w:r/>
      <w:bookmarkEnd w:id="34"/>
      <w:r/>
      <w:bookmarkEnd w:id="35"/>
      <w:r>
        <w:rPr>
          <w:rFonts w:hint="eastAsia" w:ascii="宋体" w:hAnsi="宋体" w:eastAsia="宋体" w:cs="宋体"/>
          <w:color w:val="auto"/>
          <w:sz w:val="24"/>
          <w:highlight w:val="none"/>
        </w:rPr>
        <w:t xml:space="preserve">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bookmarkStart w:id="36" w:name="XTDLJG_2"/>
      <w:r>
        <w:rPr>
          <w:rFonts w:hint="eastAsia" w:ascii="宋体" w:hAnsi="宋体" w:eastAsia="宋体" w:cs="宋体"/>
          <w:color w:val="auto"/>
          <w:sz w:val="24"/>
          <w:highlight w:val="none"/>
        </w:rPr>
        <w:t xml:space="preserve">：</w:t>
      </w:r>
      <w:bookmarkEnd w:id="36"/>
      <w:r/>
      <w:bookmarkStart w:id="37" w:name="XTDLJG_1"/>
      <w:r>
        <w:rPr>
          <w:rFonts w:hint="eastAsia" w:ascii="宋体" w:hAnsi="宋体" w:eastAsia="宋体" w:cs="宋体"/>
          <w:color w:val="auto"/>
          <w:sz w:val="24"/>
          <w:highlight w:val="none"/>
        </w:rPr>
        <w:t xml:space="preserve">苏州睿乔招投标咨询服务有限公司</w:t>
      </w:r>
      <w:bookmarkEnd w:id="37"/>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联系方式：（0512）67276332</w:t>
      </w:r>
      <w:r/>
    </w:p>
    <w:p>
      <w:pPr>
        <w:ind w:firstLine="480"/>
        <w:jc w:val="left"/>
        <w:spacing w:line="360" w:lineRule="auto"/>
        <w:widowControl/>
        <w:tabs>
          <w:tab w:val="center" w:pos="4946" w:leader="none"/>
        </w:tabs>
        <w:rPr>
          <w:rFonts w:hint="eastAsia" w:ascii="宋体" w:hAnsi="宋体" w:eastAsia="宋体" w:cs="宋体"/>
          <w:bCs/>
          <w:color w:val="auto"/>
          <w:sz w:val="24"/>
          <w:highlight w:val="none"/>
        </w:rPr>
      </w:pPr>
      <w:r/>
      <w:bookmarkStart w:id="38" w:name="_Toc28359102"/>
      <w:r/>
      <w:bookmarkStart w:id="39" w:name="_Toc28359025"/>
      <w:r/>
      <w:bookmarkStart w:id="40" w:name="_Toc35393812"/>
      <w:r/>
      <w:bookmarkStart w:id="41" w:name="_Toc35393643"/>
      <w:r>
        <w:rPr>
          <w:rFonts w:hint="eastAsia" w:ascii="宋体" w:hAnsi="宋体" w:eastAsia="宋体" w:cs="宋体"/>
          <w:bCs/>
          <w:color w:val="auto"/>
          <w:sz w:val="24"/>
          <w:highlight w:val="none"/>
        </w:rPr>
        <w:t xml:space="preserve">3.项目联系方式</w:t>
      </w:r>
      <w:bookmarkEnd w:id="38"/>
      <w:r/>
      <w:bookmarkEnd w:id="39"/>
      <w:r/>
      <w:bookmarkEnd w:id="40"/>
      <w:r/>
      <w:bookmarkEnd w:id="41"/>
      <w:r/>
      <w:r/>
    </w:p>
    <w:p>
      <w:pPr>
        <w:ind w:firstLine="480"/>
        <w:jc w:val="left"/>
        <w:spacing w:line="360" w:lineRule="auto"/>
        <w:widowControl/>
        <w:tabs>
          <w:tab w:val="center" w:pos="494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w:t>
      </w:r>
      <w:r>
        <w:rPr>
          <w:rFonts w:hint="eastAsia" w:ascii="宋体" w:hAnsi="宋体" w:cs="宋体"/>
          <w:color w:val="auto"/>
          <w:sz w:val="24"/>
          <w:highlight w:val="none"/>
          <w:lang w:eastAsia="zh-CN"/>
        </w:rPr>
        <w:t xml:space="preserve">李也菲、曹玲</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电话：（0512）67276332</w:t>
      </w:r>
      <w:r/>
    </w:p>
    <w:p>
      <w:pPr>
        <w:pStyle w:val="887"/>
        <w:jc w:val="center"/>
        <w:spacing w:before="75" w:beforeAutospacing="0" w:after="75" w:afterAutospacing="0"/>
        <w:widowControl/>
        <w:rPr>
          <w:rStyle w:val="857"/>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ind w:left="7515" w:hanging="7200"/>
        <w:jc w:val="left"/>
        <w:spacing w:line="384"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7"/>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7"/>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7"/>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1.1本采购文件仅适用于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组织的采购活动。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1.3本采购文件的解释权属于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2.4响应：投标人根据采购代理机构或采购代理机构发布的采购文件，编制投标文件并按规定投标的行为。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服务：系指本次采购文件规定乙方应承担的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p>
    <w:p>
      <w:pPr>
        <w:pStyle w:val="70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本项目不接受</w:t>
      </w:r>
      <w:r>
        <w:rPr>
          <w:rFonts w:hint="eastAsia" w:ascii="宋体" w:hAnsi="宋体" w:eastAsia="宋体" w:cs="宋体"/>
          <w:bCs/>
          <w:color w:val="auto"/>
          <w:sz w:val="24"/>
          <w:szCs w:val="24"/>
          <w:highlight w:val="none"/>
        </w:rPr>
        <w:t xml:space="preserve">进口产品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二、投标人（供应商）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 供应商资格要求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3.1供应商应当具备下列一般条件：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3.1.6法律、行政法规规定的其他条件</w:t>
      </w:r>
      <w:r>
        <w:rPr>
          <w:rFonts w:hint="eastAsia" w:ascii="宋体" w:hAnsi="宋体" w:cs="宋体"/>
          <w:bCs/>
          <w:color w:val="auto"/>
          <w:sz w:val="24"/>
          <w:highlight w:val="none"/>
          <w:lang w:eastAsia="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5、投标费用 </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6、联合体投标</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i/>
          <w:color w:val="auto"/>
          <w:sz w:val="24"/>
          <w:highlight w:val="none"/>
        </w:rPr>
        <w:t xml:space="preserve">不</w:t>
      </w:r>
      <w:r>
        <w:rPr>
          <w:rFonts w:hint="eastAsia" w:ascii="宋体" w:hAnsi="宋体" w:eastAsia="宋体" w:cs="宋体"/>
          <w:bCs/>
          <w:color w:val="auto"/>
          <w:sz w:val="24"/>
          <w:highlight w:val="none"/>
          <w:lang w:val="zh-CN"/>
        </w:rPr>
        <w:t xml:space="preserve">接受联合体投标。</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三、采购文件的说明</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7、采购文件</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8、招标文件的澄清和修改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对外进行发布。澄清或者修改的内容为招标文件的组成部分。</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4"/>
          <w:szCs w:val="22"/>
          <w:highlight w:val="none"/>
          <w:lang w:val="en-US" w:eastAsia="zh-CN"/>
        </w:rPr>
        <w:outlineLvl w:val="0"/>
      </w:pPr>
      <w:r>
        <w:rPr>
          <w:rFonts w:hint="eastAsia" w:ascii="宋体" w:hAnsi="宋体" w:eastAsia="宋体" w:cs="宋体"/>
          <w:bCs/>
          <w:color w:val="auto"/>
          <w:sz w:val="24"/>
          <w:highlight w:val="none"/>
        </w:rPr>
        <w:t xml:space="preserve">8.3</w:t>
      </w:r>
      <w:r>
        <w:rPr>
          <w:rFonts w:hint="eastAsia" w:ascii="宋体" w:hAnsi="宋体" w:eastAsia="宋体" w:cs="宋体"/>
          <w:b w:val="0"/>
          <w:bCs w:val="0"/>
          <w:color w:val="auto"/>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rPr>
          <w:rFonts w:hint="eastAsia" w:ascii="宋体" w:hAnsi="宋体" w:cs="宋体"/>
          <w:bCs/>
          <w:color w:val="auto"/>
          <w:sz w:val="24"/>
          <w:highlight w:val="none"/>
          <w:lang w:val="en-US" w:eastAsia="zh-CN"/>
        </w:rPr>
        <w:t xml:space="preserve">本项目</w:t>
      </w:r>
      <w:r>
        <w:rPr>
          <w:rFonts w:hint="eastAsia" w:ascii="宋体" w:hAnsi="宋体" w:eastAsia="宋体" w:cs="宋体"/>
          <w:bCs/>
          <w:color w:val="auto"/>
          <w:sz w:val="24"/>
          <w:highlight w:val="none"/>
        </w:rPr>
        <w:t xml:space="preserve">不涉及此条）</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bCs/>
          <w:color w:val="auto"/>
          <w:sz w:val="24"/>
          <w:highlight w:val="none"/>
          <w:lang w:val="zh-CN"/>
        </w:rPr>
        <w:t xml:space="preserve">10、质疑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（即《投标供应商确认函》）</w:t>
      </w:r>
      <w:r>
        <w:rPr>
          <w:rFonts w:hint="eastAsia" w:ascii="宋体" w:hAnsi="宋体" w:eastAsia="宋体" w:cs="宋体"/>
          <w:color w:val="auto"/>
          <w:sz w:val="24"/>
          <w:highlight w:val="none"/>
          <w:lang w:val="zh-CN"/>
        </w:rPr>
        <w:t xml:space="preserve">与质疑函一起递交，否则不予受理。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（1）供应商的姓名或者名称（以营业执照复印件为准）、地址、邮编、联系人及联系电话；</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（2）质疑项目的名称、编号；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（4）事实依据；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（5）必要的法律依据；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（6）提出质疑的日期</w:t>
      </w:r>
      <w:r>
        <w:rPr>
          <w:rFonts w:hint="eastAsia" w:ascii="宋体" w:hAnsi="宋体" w:cs="宋体"/>
          <w:color w:val="auto"/>
          <w:sz w:val="24"/>
          <w:highlight w:val="none"/>
          <w:lang w:val="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rPr>
          <w:rFonts w:hint="eastAsia" w:ascii="宋体" w:hAnsi="宋体" w:cs="宋体"/>
          <w:bCs/>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lang w:eastAsia="zh-CN"/>
        </w:rPr>
        <w:t xml:space="preserve">曹玲</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rPr>
          <w:rFonts w:hint="eastAsia" w:ascii="宋体" w:hAnsi="宋体" w:eastAsia="宋体" w:cs="宋体"/>
          <w:color w:val="auto"/>
          <w:sz w:val="24"/>
          <w:highlight w:val="none"/>
          <w:u w:val="single"/>
          <w:lang w:val="zh-CN"/>
        </w:rPr>
        <w:t xml:space="preserve">（0512）67276332</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通讯地址：</w:t>
      </w:r>
      <w:r>
        <w:rPr>
          <w:rFonts w:hint="eastAsia" w:ascii="宋体" w:hAnsi="宋体" w:eastAsia="宋体" w:cs="宋体"/>
          <w:color w:val="auto"/>
          <w:sz w:val="24"/>
          <w:highlight w:val="none"/>
          <w:u w:val="single"/>
          <w:lang w:val="zh-CN"/>
        </w:rPr>
        <w:t xml:space="preserve">苏州市吴中区南湖路71号天贸大厦西9楼</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13.3公开分项报价</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13.4资格审查文件（资格审查文件中不可出现价格内容）</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13.4.1</w:t>
      </w:r>
      <w:r>
        <w:rPr>
          <w:rFonts w:hint="eastAsia" w:ascii="宋体" w:hAnsi="宋体" w:eastAsia="宋体" w:cs="宋体"/>
          <w:bCs/>
          <w:color w:val="auto"/>
          <w:sz w:val="24"/>
          <w:highlight w:val="none"/>
        </w:rPr>
        <w:t xml:space="preserve">关于资格文件的声明函；</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投标单位情况表；</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投标单位《营业执照》</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p>
    <w:p>
      <w:pPr>
        <w:ind w:firstLine="51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13.4.7</w:t>
      </w:r>
      <w:r>
        <w:rPr>
          <w:rFonts w:hint="eastAsia" w:ascii="宋体" w:hAnsi="宋体" w:eastAsia="宋体" w:cs="宋体"/>
          <w:bCs/>
          <w:color w:val="auto"/>
          <w:sz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响应单位证明其满足合格投标人条件的证书、证明、文件等资料以及响应单位所具备的专业设备和专业技术能力</w:t>
      </w:r>
      <w:r>
        <w:rPr>
          <w:rFonts w:hint="eastAsia" w:ascii="宋体" w:hAnsi="宋体" w:cs="宋体"/>
          <w:bCs/>
          <w:color w:val="auto"/>
          <w:sz w:val="24"/>
          <w:highlight w:val="none"/>
          <w:lang w:eastAsia="zh-CN"/>
        </w:rPr>
        <w:t xml:space="preserve">；</w:t>
      </w:r>
      <w:r/>
    </w:p>
    <w:p>
      <w:pPr>
        <w:ind w:firstLine="480"/>
        <w:spacing w:line="360" w:lineRule="auto"/>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13.4.1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未被“信用中国”网站（www.creditchina.gov.cn）列入失信被执行人、重大税收违法案件当事人名单、政府采购严重失信行为记录名单；</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color w:val="auto"/>
          <w:sz w:val="24"/>
          <w:highlight w:val="none"/>
          <w:lang w:val="zh-CN"/>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《中小企业声明函》或残疾人福利性单位声明函</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省级以上监狱管理局、戒毒管理局（含新疆生产建设兵团）出具的属于监狱企业的证明文件</w:t>
      </w:r>
      <w:r>
        <w:rPr>
          <w:rFonts w:hint="eastAsia" w:ascii="宋体" w:hAnsi="宋体" w:cs="宋体"/>
          <w:color w:val="auto"/>
          <w:sz w:val="24"/>
          <w:highlight w:val="none"/>
          <w:lang w:val="zh-CN"/>
        </w:rPr>
        <w:t xml:space="preserve">；</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投标函</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bCs/>
          <w:color w:val="auto"/>
          <w:sz w:val="24"/>
          <w:highlight w:val="none"/>
        </w:rPr>
        <w:t xml:space="preserve">技术偏离表</w:t>
      </w:r>
      <w:r>
        <w:rPr>
          <w:rFonts w:hint="eastAsia" w:ascii="宋体" w:hAnsi="宋体" w:eastAsia="宋体" w:cs="Times New Roman"/>
          <w:color w:val="auto"/>
          <w:sz w:val="24"/>
          <w:highlight w:val="none"/>
          <w:lang w:val="zh-CN" w:eastAsia="zh-CN"/>
        </w:rPr>
        <w:t xml:space="preserve">》</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售后服务承诺书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.4其他有关符合性证明的文件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若有</w:t>
      </w:r>
      <w:r>
        <w:rPr>
          <w:rFonts w:hint="eastAsia" w:ascii="宋体" w:hAnsi="宋体" w:eastAsia="宋体" w:cs="宋体"/>
          <w:color w:val="auto"/>
          <w:sz w:val="24"/>
          <w:highlight w:val="none"/>
          <w:lang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13.6.1评分标准中所涉及到的各项方案、相关制度及其他材料、证明等。</w:t>
      </w:r>
      <w:r/>
    </w:p>
    <w:p>
      <w:pPr>
        <w:pStyle w:val="895"/>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注：（1）以上</w:t>
      </w:r>
      <w:r>
        <w:rPr>
          <w:rFonts w:hint="eastAsia" w:ascii="宋体" w:hAnsi="宋体" w:eastAsia="宋体" w:cs="宋体"/>
          <w:b/>
          <w:bCs/>
          <w:color w:val="auto"/>
          <w:sz w:val="24"/>
          <w:szCs w:val="24"/>
          <w:highlight w:val="none"/>
          <w:u w:val="single"/>
          <w:lang w:val="en-US" w:eastAsia="zh-CN" w:bidi="ar-SA"/>
        </w:rPr>
        <w:t xml:space="preserve">13.4.1-</w:t>
      </w:r>
      <w:r>
        <w:rPr>
          <w:rFonts w:hint="eastAsia" w:ascii="宋体" w:hAnsi="宋体" w:eastAsia="宋体" w:cs="宋体"/>
          <w:b/>
          <w:bCs/>
          <w:color w:val="auto"/>
          <w:sz w:val="24"/>
          <w:szCs w:val="24"/>
          <w:highlight w:val="none"/>
          <w:u w:val="single"/>
          <w:lang w:val="zh-CN" w:eastAsia="zh-CN" w:bidi="ar-SA"/>
        </w:rPr>
        <w:t xml:space="preserve">13.</w:t>
      </w:r>
      <w:r>
        <w:rPr>
          <w:rFonts w:hint="eastAsia" w:ascii="宋体" w:hAnsi="宋体" w:eastAsia="宋体" w:cs="宋体"/>
          <w:b/>
          <w:bCs/>
          <w:color w:val="auto"/>
          <w:sz w:val="24"/>
          <w:szCs w:val="24"/>
          <w:highlight w:val="none"/>
          <w:u w:val="single"/>
          <w:lang w:val="en-US" w:eastAsia="zh-CN" w:bidi="ar-SA"/>
        </w:rPr>
        <w:t xml:space="preserve">4</w:t>
      </w:r>
      <w:r>
        <w:rPr>
          <w:rFonts w:hint="eastAsia" w:ascii="宋体" w:hAnsi="宋体" w:eastAsia="宋体" w:cs="宋体"/>
          <w:b/>
          <w:bCs/>
          <w:color w:val="auto"/>
          <w:sz w:val="24"/>
          <w:szCs w:val="24"/>
          <w:highlight w:val="none"/>
          <w:u w:val="single"/>
          <w:lang w:val="zh-CN" w:eastAsia="zh-CN" w:bidi="ar-SA"/>
        </w:rPr>
        <w:t xml:space="preserve">.</w:t>
      </w:r>
      <w:r>
        <w:rPr>
          <w:rFonts w:hint="eastAsia" w:ascii="宋体" w:hAnsi="宋体" w:cs="宋体"/>
          <w:b/>
          <w:bCs/>
          <w:color w:val="auto"/>
          <w:sz w:val="24"/>
          <w:szCs w:val="24"/>
          <w:highlight w:val="none"/>
          <w:u w:val="singl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p>
    <w:p>
      <w:pPr>
        <w:pStyle w:val="895"/>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（2）以上</w:t>
      </w:r>
      <w:r>
        <w:rPr>
          <w:rFonts w:hint="eastAsia" w:ascii="宋体" w:hAnsi="宋体" w:eastAsia="宋体" w:cs="宋体"/>
          <w:b/>
          <w:bCs/>
          <w:color w:val="auto"/>
          <w:sz w:val="24"/>
          <w:szCs w:val="24"/>
          <w:highlight w:val="none"/>
          <w:u w:val="single"/>
          <w:lang w:val="en-US" w:eastAsia="zh-CN" w:bidi="ar-SA"/>
        </w:rPr>
        <w:t xml:space="preserve">13.5.1-13.5.</w:t>
      </w:r>
      <w:r>
        <w:rPr>
          <w:rFonts w:hint="eastAsia" w:ascii="宋体" w:hAnsi="宋体" w:cs="宋体"/>
          <w:b/>
          <w:bCs/>
          <w:color w:val="auto"/>
          <w:sz w:val="24"/>
          <w:szCs w:val="24"/>
          <w:highlight w:val="none"/>
          <w:u w:val="singl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为符合性审查须提供的资料，投标人必须提供并加盖电子公章。否则，投标文件将被认定为未实质性响应。</w:t>
      </w:r>
      <w:r/>
    </w:p>
    <w:p>
      <w:pPr>
        <w:pStyle w:val="895"/>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（3）制作电子投标文件时必须与投标文件制作软件目录一一对应，将相关资料上传至相应模块。</w:t>
      </w:r>
      <w:r/>
    </w:p>
    <w:p>
      <w:pPr>
        <w:pStyle w:val="895"/>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p>
    <w:p>
      <w:pPr>
        <w:ind w:firstLine="47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lang w:val="zh-CN" w:eastAsia="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p>
    <w:p>
      <w:pPr>
        <w:pStyle w:val="89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14.3 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14.3.1除非合同中另有规定，投标人的报价应包括所投产品及其备品、备件和专用工具费用、税费及包装、运至最终目的地的运输、保险、现场吊装、搬运费、安装调试、检测验收、采购单位指定部门的抽样产品的检测检验费用、技术支持与培训、售后服务与维保及相关劳务支出等工作所发生的全部费用以及</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highlight w:val="none"/>
          <w:lang w:val="zh-CN"/>
        </w:rPr>
        <w:t xml:space="preserve">企业利润、税金、代理服务费和政策性文件规定及合同包含的所有风险、责任等各项应有费用</w:t>
      </w:r>
      <w:r>
        <w:rPr>
          <w:rFonts w:hint="eastAsia" w:ascii="宋体" w:hAnsi="宋体"/>
          <w:color w:val="auto"/>
          <w:sz w:val="24"/>
          <w:highlight w:val="none"/>
        </w:rPr>
        <w:t xml:space="preserve">。</w:t>
      </w:r>
      <w:r>
        <w:rPr>
          <w:rFonts w:hint="eastAsia" w:ascii="宋体" w:hAnsi="宋体" w:eastAsia="宋体" w:cs="宋体"/>
          <w:color w:val="auto"/>
          <w:sz w:val="24"/>
          <w:highlight w:val="none"/>
          <w:lang w:val="zh-CN"/>
        </w:rPr>
        <w:t xml:space="preserve">同时，除非合同条款中另有规定，否则，投标人所报价格在合同实施期间不因市场变化因素而变动。</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14.3.2投标人应按《</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》中的全部内容计算单价和总价。《</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》中的每一单项均应计算并填写单价和总价，并由法定代表人或代理人签署。</w:t>
      </w:r>
      <w:r/>
    </w:p>
    <w:p>
      <w:pPr>
        <w:ind w:firstLine="502"/>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14.3.3投标人应对采购文件内所要采购的全部内容进行报价，只投其中部分内容者，其标书将被拒绝。但如果采购文件要求分标段投标的，则各标段应分别计算填写单价和总价。</w:t>
      </w:r>
      <w:r>
        <w:rPr>
          <w:rFonts w:hint="eastAsia" w:ascii="宋体" w:hAnsi="宋体" w:cs="宋体"/>
          <w:color w:val="auto"/>
          <w:sz w:val="24"/>
          <w:highlight w:val="none"/>
          <w:lang w:val="en-US" w:eastAsia="zh-CN"/>
        </w:rPr>
        <w:t xml:space="preserve">本项目不分标段。</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14.3.4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14.3.5投标文件报价中的单价和总价全部采用人民币表示，除非合同的特殊条款另有规定。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14.3.6最低的投标报价或最高的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4"/>
          <w:highlight w:val="none"/>
          <w:u w:val="single"/>
        </w:rPr>
        <w:outlineLvl w:val="9"/>
      </w:pPr>
      <w:r>
        <w:rPr>
          <w:rFonts w:hint="eastAsia" w:ascii="宋体" w:hAnsi="宋体" w:eastAsia="宋体" w:cs="宋体"/>
          <w:b/>
          <w:bCs/>
          <w:color w:val="auto"/>
          <w:sz w:val="24"/>
          <w:highlight w:val="none"/>
          <w:lang w:val="zh-CN"/>
        </w:rPr>
        <w:t xml:space="preserve">15、</w:t>
      </w:r>
      <w:r>
        <w:rPr>
          <w:rFonts w:hint="eastAsia" w:ascii="宋体" w:hAnsi="宋体" w:eastAsia="宋体" w:cs="宋体"/>
          <w:b/>
          <w:bCs/>
          <w:color w:val="auto"/>
          <w:sz w:val="24"/>
          <w:highlight w:val="none"/>
          <w:u w:val="single"/>
          <w:lang w:val="zh-CN"/>
        </w:rPr>
        <w:t xml:space="preserve">投标文件的签署</w:t>
      </w:r>
      <w:r>
        <w:rPr>
          <w:rFonts w:hint="eastAsia" w:ascii="宋体" w:hAnsi="宋体" w:cs="宋体"/>
          <w:b/>
          <w:bCs/>
          <w:color w:val="auto"/>
          <w:sz w:val="24"/>
          <w:highlight w:val="none"/>
          <w:u w:val="single"/>
          <w:lang w:val="zh-CN"/>
        </w:rPr>
        <w:t xml:space="preserve">：</w:t>
      </w:r>
      <w:r>
        <w:rPr>
          <w:rFonts w:hint="eastAsia" w:ascii="宋体" w:hAnsi="宋体" w:eastAsia="宋体" w:cs="宋体"/>
          <w:b/>
          <w:bCs/>
          <w:color w:val="auto"/>
          <w:sz w:val="24"/>
          <w:highlight w:val="none"/>
          <w:u w:val="single"/>
          <w:lang w:val="zh-CN"/>
        </w:rPr>
        <w:t xml:space="preserve">投标文件每一页均应加盖供应商电子签章</w:t>
      </w:r>
      <w:r>
        <w:rPr>
          <w:rFonts w:hint="eastAsia" w:ascii="宋体" w:hAnsi="宋体" w:cs="宋体"/>
          <w:b/>
          <w:bCs/>
          <w:color w:val="auto"/>
          <w:sz w:val="24"/>
          <w:highlight w:val="none"/>
          <w:u w:val="single"/>
          <w:lang w:val="zh-CN"/>
        </w:rPr>
        <w:t xml:space="preserve">。</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本项目不收取投标保证金</w:t>
      </w:r>
      <w:r>
        <w:rPr>
          <w:rFonts w:hint="eastAsia" w:ascii="宋体" w:hAnsi="宋体" w:cs="宋体"/>
          <w:color w:val="auto"/>
          <w:sz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17.1自投标截止时间之日起__</w:t>
      </w:r>
      <w:r>
        <w:rPr>
          <w:rFonts w:hint="eastAsia" w:ascii="宋体" w:hAnsi="宋体" w:eastAsia="宋体" w:cs="宋体"/>
          <w:color w:val="auto"/>
          <w:sz w:val="24"/>
          <w:highlight w:val="none"/>
          <w:u w:val="single"/>
        </w:rPr>
        <w:t xml:space="preserve">45</w:t>
      </w:r>
      <w:r>
        <w:rPr>
          <w:rFonts w:hint="eastAsia" w:ascii="宋体" w:hAnsi="宋体" w:eastAsia="宋体" w:cs="宋体"/>
          <w:color w:val="auto"/>
          <w:sz w:val="24"/>
          <w:highlight w:val="none"/>
          <w:lang w:val="zh-CN"/>
        </w:rPr>
        <w:t xml:space="preserve">__天，投标书应保持有效。有效期短于这个规定期限的投标，将被拒绝。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p>
    <w:p>
      <w:pPr>
        <w:pStyle w:val="895"/>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p>
    <w:p>
      <w:pPr>
        <w:pStyle w:val="895"/>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p>
    <w:p>
      <w:pPr>
        <w:pStyle w:val="880"/>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895"/>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p>
    <w:p>
      <w:pPr>
        <w:pStyle w:val="89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.1投标人应当在招标文件要求投标文件网上提交截止时间前，将投标文件完成提交（上传）。逾期提交（上传）的投标文件，采购人和采购代理机构拒绝接收。</w:t>
      </w:r>
      <w:r/>
    </w:p>
    <w:p>
      <w:pPr>
        <w:pStyle w:val="89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89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p>
    <w:p>
      <w:pPr>
        <w:pStyle w:val="895"/>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p>
    <w:p>
      <w:pPr>
        <w:pStyle w:val="89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5"/>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p>
    <w:p>
      <w:pPr>
        <w:pStyle w:val="895"/>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p>
    <w:p>
      <w:pPr>
        <w:ind w:firstLine="48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采购代理机构会在接收投标文件截止时间后，在信用中国（www.creditchina.gov.cn）网站输入供应商全称或统一社会信用代码查询信用记录，并将查询结果递交评审小组</w:t>
      </w:r>
      <w:r>
        <w:rPr>
          <w:rFonts w:hint="eastAsia" w:ascii="宋体" w:hAnsi="宋体" w:eastAsia="宋体" w:cs="宋体"/>
          <w:color w:val="auto"/>
          <w:sz w:val="24"/>
          <w:highlight w:val="none"/>
          <w:lang w:val="zh-CN"/>
        </w:rPr>
        <w:t xml:space="preserve">。</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经采购人或者采购代理机构审查供应商存在被“信用中国”网站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p>
    <w:p>
      <w:pPr>
        <w:ind w:firstLine="48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.3.1审查、评价投标文件是否符合采购文件的商务、技术等实质性要求；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签署评标报告、推荐中标候选人并根据采购方委托从中</w:t>
      </w:r>
      <w:r>
        <w:rPr>
          <w:rFonts w:hint="eastAsia" w:ascii="宋体" w:hAnsi="宋体" w:eastAsia="宋体" w:cs="宋体"/>
          <w:color w:val="auto"/>
          <w:sz w:val="24"/>
          <w:highlight w:val="none"/>
          <w:lang w:val="zh-CN"/>
        </w:rPr>
        <w:t xml:space="preserve">确定中标人；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（一）招标公告刊登的媒体名称、开标日期和地点；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（二）投标人名单和评标委员会成员名单；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（三）评标方法和标准；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.4.6配合有关部门的投诉处理工作。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80"/>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（一）投标文件未按招标文件要求签署、盖章的；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（二）不具备招标文件中规定的资格要求的；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（四）投标文件含有采购人不能接受的附加条件的；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（五）法律、法规和招标文件规定的其他无效情形</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在系统中出现供应商“机器码一致”情形的。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p>
    <w:p>
      <w:pPr>
        <w:pStyle w:val="895"/>
        <w:ind w:left="0" w:firstLine="42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95"/>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.6异常低价投标</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审查</w:t>
      </w:r>
      <w:r/>
    </w:p>
    <w:p>
      <w:pPr>
        <w:ind w:firstLine="420"/>
        <w:spacing w:line="360" w:lineRule="auto"/>
        <w:rPr>
          <w:rFonts w:hint="eastAsia" w:ascii="宋体" w:hAnsi="宋体" w:eastAsia="宋体" w:cs="宋体"/>
          <w:b/>
          <w:color w:val="auto"/>
          <w:sz w:val="24"/>
          <w:highlight w:val="none"/>
          <w:lang w:val="en-US"/>
        </w:rPr>
      </w:pPr>
      <w:r>
        <w:rPr>
          <w:rFonts w:hint="eastAsia" w:ascii="宋体" w:hAnsi="宋体" w:eastAsia="宋体" w:cs="宋体"/>
          <w:b/>
          <w:color w:val="auto"/>
          <w:sz w:val="24"/>
          <w:highlight w:val="none"/>
          <w:lang w:val="en-US"/>
        </w:rPr>
        <w:t xml:space="preserve">评标</w:t>
      </w:r>
      <w:r>
        <w:rPr>
          <w:rFonts w:hint="eastAsia" w:ascii="宋体" w:hAnsi="宋体" w:cs="宋体"/>
          <w:b/>
          <w:color w:val="auto"/>
          <w:sz w:val="24"/>
          <w:highlight w:val="none"/>
          <w:lang w:val="en-US" w:eastAsia="zh-CN"/>
        </w:rPr>
        <w:t xml:space="preserve">（评审）</w:t>
      </w:r>
      <w:r>
        <w:rPr>
          <w:rFonts w:hint="eastAsia" w:ascii="宋体" w:hAnsi="宋体" w:eastAsia="宋体" w:cs="宋体"/>
          <w:b/>
          <w:color w:val="auto"/>
          <w:sz w:val="24"/>
          <w:highlight w:val="none"/>
          <w:lang w:val="en-US"/>
        </w:rPr>
        <w:t xml:space="preserve">过程中出现下列情形之一的，评标委员会应当启动异常低价投标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en-US"/>
        </w:rPr>
        <w:t xml:space="preserve">审查程序：</w:t>
      </w:r>
      <w:r/>
    </w:p>
    <w:p>
      <w:pPr>
        <w:ind w:firstLine="420"/>
        <w:spacing w:line="360" w:lineRule="auto"/>
        <w:rPr>
          <w:rFonts w:hint="eastAsia" w:ascii="宋体" w:hAnsi="宋体" w:eastAsia="宋体" w:cs="宋体"/>
          <w:b/>
          <w:color w:val="auto"/>
          <w:sz w:val="24"/>
          <w:highlight w:val="none"/>
          <w:lang w:val="en-US"/>
        </w:rPr>
      </w:pPr>
      <w:r>
        <w:rPr>
          <w:rFonts w:hint="eastAsia" w:ascii="宋体" w:hAnsi="宋体" w:cs="宋体"/>
          <w:b/>
          <w:color w:val="auto"/>
          <w:sz w:val="24"/>
          <w:highlight w:val="none"/>
          <w:lang w:val="en-US" w:eastAsia="zh-CN"/>
        </w:rPr>
        <w:t xml:space="preserve">1.</w:t>
      </w:r>
      <w:r>
        <w:rPr>
          <w:rFonts w:hint="eastAsia" w:ascii="宋体" w:hAnsi="宋体" w:eastAsia="宋体" w:cs="宋体"/>
          <w:b/>
          <w:color w:val="auto"/>
          <w:sz w:val="24"/>
          <w:highlight w:val="none"/>
          <w:lang w:val="en-US"/>
        </w:rPr>
        <w:t xml:space="preserve">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en-US"/>
        </w:rPr>
        <w:t xml:space="preserve">报价低于采购项目预算50%的，即投标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en-US"/>
        </w:rPr>
        <w:t xml:space="preserve">报价&lt;采购项目预算×50%；</w:t>
      </w:r>
      <w:r/>
    </w:p>
    <w:p>
      <w:pPr>
        <w:ind w:firstLine="420"/>
        <w:spacing w:line="360" w:lineRule="auto"/>
        <w:rPr>
          <w:rFonts w:hint="eastAsia" w:ascii="宋体" w:hAnsi="宋体" w:eastAsia="宋体" w:cs="宋体"/>
          <w:b/>
          <w:color w:val="auto"/>
          <w:sz w:val="24"/>
          <w:highlight w:val="none"/>
          <w:lang w:val="en-US"/>
        </w:rPr>
      </w:pPr>
      <w:r>
        <w:rPr>
          <w:rFonts w:hint="eastAsia" w:ascii="宋体" w:hAnsi="宋体" w:cs="宋体"/>
          <w:b/>
          <w:color w:val="auto"/>
          <w:sz w:val="24"/>
          <w:highlight w:val="none"/>
          <w:lang w:val="en-US" w:eastAsia="zh-CN"/>
        </w:rPr>
        <w:t xml:space="preserve">2.</w:t>
      </w:r>
      <w:r>
        <w:rPr>
          <w:rFonts w:hint="eastAsia" w:ascii="宋体" w:hAnsi="宋体" w:eastAsia="宋体" w:cs="宋体"/>
          <w:b/>
          <w:color w:val="auto"/>
          <w:sz w:val="24"/>
          <w:highlight w:val="none"/>
          <w:lang w:val="en-US"/>
        </w:rPr>
        <w:t xml:space="preserve">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en-US"/>
        </w:rPr>
        <w:t xml:space="preserve">报价低于采购项目最高限价45%的，即投标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en-US"/>
        </w:rPr>
        <w:t xml:space="preserve">报价&lt;采购项目最高限价×45%；</w:t>
      </w:r>
      <w:r/>
    </w:p>
    <w:p>
      <w:pPr>
        <w:ind w:firstLine="420"/>
        <w:spacing w:line="360" w:lineRule="auto"/>
        <w:rPr>
          <w:rFonts w:hint="eastAsia" w:ascii="宋体" w:hAnsi="宋体" w:eastAsia="宋体" w:cs="宋体"/>
          <w:b/>
          <w:color w:val="auto"/>
          <w:sz w:val="24"/>
          <w:highlight w:val="none"/>
          <w:lang w:val="en-US"/>
        </w:rPr>
      </w:pPr>
      <w:r>
        <w:rPr>
          <w:rFonts w:hint="eastAsia" w:ascii="宋体" w:hAnsi="宋体" w:cs="宋体"/>
          <w:b/>
          <w:color w:val="auto"/>
          <w:sz w:val="24"/>
          <w:highlight w:val="none"/>
          <w:lang w:val="en-US" w:eastAsia="zh-CN"/>
        </w:rPr>
        <w:t xml:space="preserve">3.</w:t>
      </w:r>
      <w:r>
        <w:rPr>
          <w:rFonts w:hint="eastAsia" w:ascii="宋体" w:hAnsi="宋体" w:eastAsia="宋体" w:cs="宋体"/>
          <w:b/>
          <w:color w:val="auto"/>
          <w:sz w:val="24"/>
          <w:highlight w:val="none"/>
          <w:lang w:val="en-US"/>
        </w:rPr>
        <w:t xml:space="preserve">评标委员会认定的供应商报价过低、有可能影响产品质量或者不能诚信履约的其他情形。</w:t>
      </w:r>
      <w:r/>
    </w:p>
    <w:p>
      <w:pPr>
        <w:ind w:firstLine="420"/>
        <w:spacing w:line="360" w:lineRule="auto"/>
        <w:rPr>
          <w:rFonts w:hint="eastAsia" w:ascii="宋体" w:hAnsi="宋体" w:eastAsia="宋体" w:cs="宋体"/>
          <w:b/>
          <w:color w:val="auto"/>
          <w:sz w:val="24"/>
          <w:highlight w:val="none"/>
          <w:lang w:val="en-US"/>
        </w:rPr>
      </w:pPr>
      <w:r>
        <w:rPr>
          <w:rFonts w:hint="eastAsia" w:ascii="宋体" w:hAnsi="宋体" w:eastAsia="宋体" w:cs="宋体"/>
          <w:b/>
          <w:color w:val="auto"/>
          <w:sz w:val="24"/>
          <w:highlight w:val="none"/>
          <w:lang w:val="zh-CN"/>
        </w:rPr>
        <w:t xml:space="preserve">启动异常低价投标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审查后，</w:t>
      </w:r>
      <w:bookmarkStart w:id="44" w:name="OLE_LINK1"/>
      <w:r/>
      <w:bookmarkStart w:id="45" w:name="OLE_LINK2"/>
      <w:r>
        <w:rPr>
          <w:rFonts w:hint="eastAsia" w:ascii="宋体" w:hAnsi="宋体" w:eastAsia="宋体" w:cs="宋体"/>
          <w:b/>
          <w:color w:val="auto"/>
          <w:sz w:val="24"/>
          <w:highlight w:val="none"/>
          <w:lang w:val="en-US"/>
        </w:rPr>
        <w:t xml:space="preserve">评标委员会</w:t>
      </w:r>
      <w:bookmarkEnd w:id="44"/>
      <w:r/>
      <w:bookmarkEnd w:id="45"/>
      <w:r>
        <w:rPr>
          <w:rFonts w:hint="eastAsia" w:ascii="宋体" w:hAnsi="宋体" w:eastAsia="宋体" w:cs="宋体"/>
          <w:b/>
          <w:color w:val="auto"/>
          <w:sz w:val="24"/>
          <w:highlight w:val="none"/>
          <w:lang w:val="zh-CN"/>
        </w:rPr>
        <w:t xml:space="preserve">应当要求相关供应商在合理的时间内，提供项目具体成本测算等与报价合理性相关的书面说明及相关证明材料</w:t>
      </w:r>
      <w:bookmarkStart w:id="46" w:name="OLE_LINK9"/>
      <w:r>
        <w:rPr>
          <w:rFonts w:hint="eastAsia" w:ascii="宋体" w:hAnsi="宋体" w:eastAsia="宋体" w:cs="宋体"/>
          <w:b/>
          <w:color w:val="auto"/>
          <w:sz w:val="24"/>
          <w:highlight w:val="none"/>
          <w:lang w:val="zh-CN"/>
        </w:rPr>
        <w:t xml:space="preserve">，</w:t>
      </w:r>
      <w:bookmarkEnd w:id="46"/>
      <w:r>
        <w:rPr>
          <w:rFonts w:hint="eastAsia" w:ascii="宋体" w:hAnsi="宋体" w:eastAsia="宋体" w:cs="宋体"/>
          <w:b/>
          <w:color w:val="auto"/>
          <w:sz w:val="24"/>
          <w:highlight w:val="none"/>
          <w:lang w:val="zh-CN"/>
        </w:rPr>
        <w:t xml:space="preserve">对投标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价格作出解释，由</w:t>
      </w:r>
      <w:r>
        <w:rPr>
          <w:rFonts w:hint="eastAsia" w:ascii="宋体" w:hAnsi="宋体" w:eastAsia="宋体" w:cs="宋体"/>
          <w:b/>
          <w:color w:val="auto"/>
          <w:sz w:val="24"/>
          <w:highlight w:val="none"/>
          <w:lang w:val="en-US"/>
        </w:rPr>
        <w:t xml:space="preserve">评标委员会</w:t>
      </w:r>
      <w:r>
        <w:rPr>
          <w:rFonts w:hint="eastAsia" w:ascii="宋体" w:hAnsi="宋体" w:eastAsia="宋体" w:cs="宋体"/>
          <w:b/>
          <w:color w:val="auto"/>
          <w:sz w:val="24"/>
          <w:highlight w:val="none"/>
          <w:lang w:val="zh-CN"/>
        </w:rPr>
        <w:t xml:space="preserve">结合同类产品在主要电商平台的价格、该行业当地</w:t>
      </w:r>
      <w:bookmarkStart w:id="47" w:name="OLE_LINK8"/>
      <w:r>
        <w:rPr>
          <w:rFonts w:hint="eastAsia" w:ascii="宋体" w:hAnsi="宋体" w:eastAsia="宋体" w:cs="宋体"/>
          <w:b/>
          <w:color w:val="auto"/>
          <w:sz w:val="24"/>
          <w:highlight w:val="none"/>
          <w:lang w:val="zh-CN"/>
        </w:rPr>
        <w:t xml:space="preserve">薪资</w:t>
      </w:r>
      <w:bookmarkEnd w:id="47"/>
      <w:r>
        <w:rPr>
          <w:rFonts w:hint="eastAsia" w:ascii="宋体" w:hAnsi="宋体" w:eastAsia="宋体" w:cs="宋体"/>
          <w:b/>
          <w:color w:val="auto"/>
          <w:sz w:val="24"/>
          <w:highlight w:val="none"/>
          <w:lang w:val="zh-CN"/>
        </w:rPr>
        <w:t xml:space="preserve">水平等情况，依据专业经验对供应商报价合理性进行判断。投标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供应商不提供书面说明、证明材料，或者提供的书面说明、证明材料不能证明其报价合理性的，评标委员会应当将其作为无效投标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处理。审查相关情况应当在评审报告中进行记录。</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在系统中出现供应商“机器码一致”情形的。</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比例是中标的重要条件，但不是唯一条件。</w:t>
      </w:r>
      <w:r/>
    </w:p>
    <w:p>
      <w:pPr>
        <w:spacing w:line="360" w:lineRule="auto"/>
        <w:tabs>
          <w:tab w:val="left" w:pos="567"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八、发出中标通知书</w:t>
      </w:r>
      <w:r/>
    </w:p>
    <w:p>
      <w:pPr>
        <w:pStyle w:val="895"/>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，采购代理机构有权对该质疑不予答复。</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rPr>
          <w:rFonts w:hint="eastAsia" w:ascii="宋体" w:hAnsi="宋体" w:eastAsia="宋体" w:cs="宋体"/>
          <w:bCs/>
          <w:color w:val="auto"/>
          <w:sz w:val="24"/>
          <w:highlight w:val="none"/>
        </w:rPr>
        <w:t xml:space="preserve">根据苏财购告【2017】23号文件的收取中标服务费。</w:t>
      </w:r>
      <w:r>
        <w:rPr>
          <w:rFonts w:hint="eastAsia" w:ascii="宋体" w:hAnsi="宋体" w:cs="宋体"/>
          <w:bCs/>
          <w:color w:val="auto"/>
          <w:sz w:val="24"/>
          <w:highlight w:val="none"/>
          <w:lang w:val="en-US" w:eastAsia="zh-CN"/>
        </w:rPr>
        <w:t xml:space="preserve">具体计算方式和支付金额按投标须知前附表要求为准</w:t>
      </w:r>
      <w:r>
        <w:rPr>
          <w:rFonts w:hint="eastAsia" w:ascii="宋体" w:hAnsi="宋体" w:eastAsia="宋体" w:cs="宋体"/>
          <w:bCs/>
          <w:color w:val="auto"/>
          <w:sz w:val="24"/>
          <w:highlight w:val="none"/>
        </w:rPr>
        <w:t xml:space="preserve">。</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账户名：苏州睿乔招投标咨询服务有限公司 账  号：1102020209000937813</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开户行：中国工商银行苏州道前支行 </w:t>
      </w:r>
      <w:r/>
    </w:p>
    <w:p>
      <w:pPr>
        <w:ind w:firstLine="482"/>
        <w:spacing w:line="360"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w:t>
      </w:r>
      <w:r>
        <w:rPr>
          <w:rFonts w:hint="eastAsia" w:ascii="宋体" w:hAnsi="宋体" w:cs="宋体"/>
          <w:b/>
          <w:bCs/>
          <w:color w:val="auto"/>
          <w:sz w:val="24"/>
          <w:highlight w:val="none"/>
          <w:lang w:val="en-US" w:eastAsia="zh-CN"/>
        </w:rPr>
        <w:t xml:space="preserve"> </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p>
    <w:p>
      <w:pPr>
        <w:ind w:firstLine="480"/>
        <w:spacing w:line="360" w:lineRule="auto"/>
        <w:rPr>
          <w:rStyle w:val="857"/>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按《中华人民共和国政府采购法》及其他有关政府采购的法律法规的规定执行。</w:t>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第三章 投标文件格式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对本章所有的投标书格式，投标方可根据自身情况进行补充和修改，但补充和修改不得造成与本格式内容有实质性的违背。</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1、（投标方）法定代表人授权委托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备注：供应商如有授权委托，必须提供该法人授权委托书及</w:t>
      </w:r>
      <w:r>
        <w:rPr>
          <w:rFonts w:hint="eastAsia" w:ascii="宋体" w:hAnsi="宋体" w:eastAsia="宋体" w:cs="宋体"/>
          <w:b/>
          <w:color w:val="auto"/>
          <w:sz w:val="24"/>
          <w:szCs w:val="24"/>
          <w:highlight w:val="none"/>
          <w:lang w:val="en-US" w:eastAsia="zh-CN"/>
        </w:rPr>
        <w:t xml:space="preserve">法人和</w:t>
      </w:r>
      <w:r>
        <w:rPr>
          <w:rFonts w:hint="eastAsia" w:ascii="宋体" w:hAnsi="宋体" w:eastAsia="宋体" w:cs="宋体"/>
          <w:b/>
          <w:color w:val="auto"/>
          <w:sz w:val="24"/>
          <w:szCs w:val="24"/>
          <w:highlight w:val="none"/>
        </w:rPr>
        <w:t xml:space="preserve">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p>
    <w:p>
      <w:pPr>
        <w:pStyle w:val="693"/>
        <w:ind w:left="0" w:firstLine="482"/>
        <w:jc w:val="both"/>
        <w:keepLines w:val="0"/>
        <w:keepNext w:val="0"/>
        <w:pageBreakBefore w:val="0"/>
        <w:spacing w:before="0" w:beforeAutospacing="0" w:after="0" w:afterAutospacing="0" w:line="360" w:lineRule="auto"/>
        <w:widowControl/>
        <w:rPr>
          <w:rFonts w:hint="eastAsia" w:ascii="宋体" w:hAnsi="宋体" w:eastAsia="宋体" w:cs="宋体"/>
          <w:i w:val="0"/>
          <w:caps w:val="0"/>
          <w:color w:val="auto"/>
          <w:spacing w:val="0"/>
          <w:sz w:val="24"/>
          <w:szCs w:val="24"/>
          <w:highlight w:val="none"/>
          <w:lang w:eastAsia="zh-CN"/>
        </w:rPr>
        <w:outlineLvl w:val="9"/>
        <w:suppressLineNumbers w:val="0"/>
      </w:pPr>
      <w:r>
        <w:rPr>
          <w:rFonts w:hint="eastAsia" w:ascii="宋体" w:hAnsi="宋体" w:eastAsia="宋体" w:cs="宋体"/>
          <w:b/>
          <w:color w:val="auto"/>
          <w:sz w:val="24"/>
          <w:szCs w:val="24"/>
          <w:highlight w:val="none"/>
        </w:rPr>
        <w:t xml:space="preserve">供应商无授权委托的情况下，必须提供法定代表人身份证，否则响应无效。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p>
      <w:pPr>
        <w:pStyle w:val="89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1、我们愿意按照招标文件的一切要求，提供以上项目的所有内容，我们的投标</w:t>
      </w:r>
      <w:r>
        <w:rPr>
          <w:rFonts w:hint="eastAsia" w:ascii="宋体" w:hAnsi="宋体" w:eastAsia="宋体" w:cs="宋体"/>
          <w:bCs/>
          <w:color w:val="auto"/>
          <w:sz w:val="24"/>
          <w:highlight w:val="none"/>
        </w:rPr>
        <w:t xml:space="preserve">价格包括所投产品及其备品、备件和专用工具费用、税费及包装、运至最终目的地的运输、保险、现场吊装、搬运费、安装调试、检测验收、采购单位指定部门的抽样产品的检测检验费用、技术支持与培训、售后服务与维保及相关劳务支出等工作所发生的全部费用以及</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bCs/>
          <w:color w:val="auto"/>
          <w:sz w:val="24"/>
          <w:highlight w:val="none"/>
        </w:rPr>
        <w:t xml:space="preserve">企业利润、税金、代理服务费和政策性文件规定及合同包含的所有风险、责任等各项应有费用</w:t>
      </w:r>
      <w:r>
        <w:rPr>
          <w:rFonts w:hint="eastAsia" w:ascii="宋体" w:hAnsi="宋体"/>
          <w:color w:val="auto"/>
          <w:sz w:val="24"/>
          <w:highlight w:val="none"/>
        </w:rPr>
        <w:t xml:space="preserve">。</w:t>
      </w:r>
      <w:r/>
    </w:p>
    <w:p>
      <w:pPr>
        <w:pStyle w:val="89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891"/>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3、我们同意按招标文件规定，本投标书的有效期限为自提交投标文件截止日起</w:t>
      </w:r>
      <w:r/>
    </w:p>
    <w:p>
      <w:pPr>
        <w:pStyle w:val="891"/>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天。</w:t>
      </w:r>
      <w:r/>
    </w:p>
    <w:p>
      <w:pPr>
        <w:pStyle w:val="89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4、我们愿意提供招标方在招标文件中要求的所有资料。</w:t>
      </w:r>
      <w:r/>
    </w:p>
    <w:p>
      <w:pPr>
        <w:pStyle w:val="89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5、我们认为你们有权决定中标者，还认为你们有权接受或拒绝所有的投标者。</w:t>
      </w:r>
      <w:r/>
    </w:p>
    <w:p>
      <w:pPr>
        <w:pStyle w:val="89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6、我们承诺人员上岗按国家规定执行。</w:t>
      </w:r>
      <w:r/>
    </w:p>
    <w:p>
      <w:pPr>
        <w:pStyle w:val="89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7、我们愿意遵守招标文件中所列的收费标准。</w:t>
      </w:r>
      <w:r/>
    </w:p>
    <w:p>
      <w:pPr>
        <w:pStyle w:val="89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89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9、如果我们中标，我们愿意在签订合同时按招标文件规定的标准向招标代理机构支付中标服务费；</w:t>
      </w:r>
      <w:r/>
    </w:p>
    <w:p>
      <w:pPr>
        <w:pStyle w:val="89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pStyle w:val="89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rPr>
          <w:rFonts w:hint="eastAsia"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联系人：</w:t>
      </w:r>
      <w:r/>
    </w:p>
    <w:p>
      <w:pPr>
        <w:pStyle w:val="894"/>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p>
    <w:p>
      <w:pPr>
        <w:pStyle w:val="894"/>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pStyle w:val="894"/>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        邮箱：                                     </w:t>
      </w:r>
      <w:r/>
    </w:p>
    <w:p>
      <w:pPr>
        <w:pStyle w:val="89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894"/>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89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highlight w:val="none"/>
        </w:rPr>
        <w:t xml:space="preserve">3、开标一览表：</w:t>
      </w:r>
      <w:r>
        <w:rPr>
          <w:rFonts w:hint="eastAsia" w:ascii="宋体" w:hAnsi="宋体" w:eastAsia="宋体" w:cs="宋体"/>
          <w:b/>
          <w:color w:val="auto"/>
          <w:sz w:val="24"/>
          <w:highlight w:val="none"/>
        </w:rPr>
        <w:t xml:space="preserve">按投标系统内统一格式</w:t>
      </w:r>
      <w:r/>
    </w:p>
    <w:p>
      <w:pPr>
        <w:pStyle w:val="6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8"/>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val="en-US" w:eastAsia="zh-CN"/>
        </w:rPr>
        <w:t xml:space="preserve">公开分项报价</w:t>
      </w:r>
      <w:r/>
    </w:p>
    <w:p>
      <w:pPr>
        <w:pStyle w:val="89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公开分项报价</w:t>
      </w:r>
      <w:r/>
    </w:p>
    <w:tbl>
      <w:tblPr>
        <w:tblStyle w:val="669"/>
        <w:tblW w:w="9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542"/>
        <w:gridCol w:w="1010"/>
        <w:gridCol w:w="1310"/>
        <w:gridCol w:w="851"/>
        <w:gridCol w:w="850"/>
        <w:gridCol w:w="1560"/>
        <w:gridCol w:w="1825"/>
      </w:tblGrid>
      <w:tr>
        <w:trPr>
          <w:jc w:val="center"/>
          <w:trHeight w:val="285"/>
        </w:trPr>
        <w:tc>
          <w:tcPr>
            <w:tcW w:w="772" w:type="dxa"/>
            <w:vAlign w:val="center"/>
            <w:textDirection w:val="lrTb"/>
            <w:noWrap w:val="false"/>
          </w:tcPr>
          <w:p>
            <w:pPr>
              <w:jc w:val="cente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542" w:type="dxa"/>
            <w:vAlign w:val="center"/>
            <w:textDirection w:val="lrTb"/>
            <w:noWrap w:val="false"/>
          </w:tcPr>
          <w:p>
            <w:pPr>
              <w:jc w:val="cente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名称</w:t>
            </w:r>
            <w:r/>
          </w:p>
        </w:tc>
        <w:tc>
          <w:tcPr>
            <w:tcW w:w="1010" w:type="dxa"/>
            <w:vAlign w:val="center"/>
            <w:textDirection w:val="lrTb"/>
            <w:noWrap w:val="false"/>
          </w:tcPr>
          <w:p>
            <w:pPr>
              <w:jc w:val="cente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品牌</w:t>
            </w:r>
            <w:r/>
          </w:p>
        </w:tc>
        <w:tc>
          <w:tcPr>
            <w:tcW w:w="1310" w:type="dxa"/>
            <w:vAlign w:val="center"/>
            <w:textDirection w:val="lrTb"/>
            <w:noWrap w:val="false"/>
          </w:tcPr>
          <w:p>
            <w:pPr>
              <w:jc w:val="cente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型号规格</w:t>
            </w:r>
            <w:r/>
          </w:p>
        </w:tc>
        <w:tc>
          <w:tcPr>
            <w:tcW w:w="851" w:type="dxa"/>
            <w:vAlign w:val="center"/>
            <w:textDirection w:val="lrTb"/>
            <w:noWrap w:val="false"/>
          </w:tcPr>
          <w:p>
            <w:pPr>
              <w:jc w:val="cente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单位</w:t>
            </w:r>
            <w:r/>
          </w:p>
        </w:tc>
        <w:tc>
          <w:tcPr>
            <w:tcW w:w="850" w:type="dxa"/>
            <w:vAlign w:val="center"/>
            <w:textDirection w:val="lrTb"/>
            <w:noWrap w:val="false"/>
          </w:tcPr>
          <w:p>
            <w:pPr>
              <w:jc w:val="cente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1560" w:type="dxa"/>
            <w:vAlign w:val="center"/>
            <w:textDirection w:val="lrTb"/>
            <w:noWrap w:val="false"/>
          </w:tcPr>
          <w:p>
            <w:pPr>
              <w:jc w:val="cente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单价(元)</w:t>
            </w:r>
            <w:r/>
          </w:p>
        </w:tc>
        <w:tc>
          <w:tcPr>
            <w:tcW w:w="1825" w:type="dxa"/>
            <w:vAlign w:val="center"/>
            <w:textDirection w:val="lrTb"/>
            <w:noWrap w:val="false"/>
          </w:tcPr>
          <w:p>
            <w:pPr>
              <w:jc w:val="cente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总价(元)</w:t>
            </w:r>
            <w:r/>
          </w:p>
        </w:tc>
      </w:tr>
      <w:tr>
        <w:trPr>
          <w:jc w:val="center"/>
          <w:trHeight w:val="285"/>
        </w:trPr>
        <w:tc>
          <w:tcPr>
            <w:tcW w:w="7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1542"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01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310"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825" w:type="dxa"/>
            <w:vAlign w:val="top"/>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W w:w="7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542"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01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310"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825" w:type="dxa"/>
            <w:vAlign w:val="top"/>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W w:w="7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542"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01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310"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825" w:type="dxa"/>
            <w:vAlign w:val="top"/>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W w:w="7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542"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01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310"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825" w:type="dxa"/>
            <w:vAlign w:val="top"/>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W w:w="7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542"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01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310"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825" w:type="dxa"/>
            <w:vAlign w:val="top"/>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W w:w="7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542"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01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310"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825" w:type="dxa"/>
            <w:vAlign w:val="top"/>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W w:w="7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1542"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01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310"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825" w:type="dxa"/>
            <w:vAlign w:val="top"/>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W w:w="772"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w:t>
            </w:r>
            <w:r/>
          </w:p>
        </w:tc>
        <w:tc>
          <w:tcPr>
            <w:tcW w:w="1542" w:type="dxa"/>
            <w:vAlign w:val="center"/>
            <w:textDirection w:val="lrTb"/>
            <w:noWrap w:val="false"/>
          </w:tcPr>
          <w:p>
            <w:pPr>
              <w:spacing w:line="360" w:lineRule="auto"/>
              <w:rPr>
                <w:rFonts w:ascii="宋体" w:hAnsi="宋体" w:cs="宋体"/>
                <w:b/>
                <w:bCs/>
                <w:color w:val="auto"/>
                <w:sz w:val="24"/>
                <w:highlight w:val="none"/>
              </w:rPr>
            </w:pPr>
            <w:r>
              <w:rPr>
                <w:rFonts w:ascii="宋体" w:hAnsi="宋体" w:cs="宋体"/>
                <w:b/>
                <w:bCs/>
                <w:color w:val="auto"/>
                <w:sz w:val="24"/>
                <w:highlight w:val="none"/>
              </w:rPr>
            </w:r>
            <w:r/>
          </w:p>
        </w:tc>
        <w:tc>
          <w:tcPr>
            <w:tcW w:w="1010" w:type="dxa"/>
            <w:vAlign w:val="center"/>
            <w:textDirection w:val="lrTb"/>
            <w:noWrap w:val="false"/>
          </w:tcPr>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tc>
        <w:tc>
          <w:tcPr>
            <w:tcW w:w="1310" w:type="dxa"/>
            <w:vAlign w:val="center"/>
            <w:textDirection w:val="lrTb"/>
            <w:noWrap w:val="false"/>
          </w:tcPr>
          <w:p>
            <w:pPr>
              <w:spacing w:line="360" w:lineRule="auto"/>
              <w:rPr>
                <w:rFonts w:ascii="宋体" w:hAnsi="宋体" w:cs="宋体"/>
                <w:b/>
                <w:bCs/>
                <w:color w:val="auto"/>
                <w:sz w:val="24"/>
                <w:highlight w:val="none"/>
              </w:rPr>
            </w:pPr>
            <w:r>
              <w:rPr>
                <w:rFonts w:ascii="宋体" w:hAnsi="宋体" w:cs="宋体"/>
                <w:b/>
                <w:bCs/>
                <w:color w:val="auto"/>
                <w:sz w:val="24"/>
                <w:highlight w:val="none"/>
              </w:rPr>
            </w:r>
            <w:r/>
          </w:p>
        </w:tc>
        <w:tc>
          <w:tcPr>
            <w:tcW w:w="851" w:type="dxa"/>
            <w:vAlign w:val="center"/>
            <w:textDirection w:val="lrTb"/>
            <w:noWrap w:val="false"/>
          </w:tcPr>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tc>
        <w:tc>
          <w:tcPr>
            <w:tcW w:w="850" w:type="dxa"/>
            <w:vAlign w:val="center"/>
            <w:textDirection w:val="lrTb"/>
            <w:noWrap w:val="false"/>
          </w:tcPr>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tc>
        <w:tc>
          <w:tcPr>
            <w:tcW w:w="156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825" w:type="dxa"/>
            <w:vAlign w:val="top"/>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W w:w="7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1542"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01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310"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825" w:type="dxa"/>
            <w:vAlign w:val="top"/>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W w:w="7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tcW w:w="1542"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01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310"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825" w:type="dxa"/>
            <w:vAlign w:val="top"/>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W w:w="77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542" w:type="dxa"/>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合计（元）</w:t>
            </w:r>
            <w:r/>
          </w:p>
        </w:tc>
        <w:tc>
          <w:tcPr>
            <w:gridSpan w:val="6"/>
            <w:tcW w:w="74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bl>
    <w:p>
      <w:pPr>
        <w:pStyle w:val="880"/>
        <w:ind w:left="0" w:firstLine="0"/>
        <w:rPr>
          <w:rFonts w:hint="eastAsia" w:ascii="宋体" w:hAnsi="宋体" w:eastAsia="宋体" w:cs="宋体"/>
          <w:bCs/>
          <w:color w:val="auto"/>
          <w:szCs w:val="24"/>
          <w:highlight w:val="none"/>
        </w:rPr>
        <w:outlineLvl w:val="1"/>
      </w:pPr>
      <w:r>
        <w:rPr>
          <w:rFonts w:hint="eastAsia" w:ascii="宋体" w:hAnsi="宋体" w:eastAsia="宋体" w:cs="宋体"/>
          <w:bCs/>
          <w:color w:val="auto"/>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4"/>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4"/>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6"/>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color w:val="auto"/>
          <w:sz w:val="24"/>
          <w:szCs w:val="24"/>
          <w:highlight w:val="none"/>
          <w:lang w:val="en-US" w:eastAsia="zh-CN"/>
        </w:rPr>
      </w:pPr>
      <w:r>
        <w:rPr>
          <w:rFonts w:hint="eastAsia" w:ascii="宋体" w:hAnsi="宋体" w:eastAsia="宋体" w:cs="宋体"/>
          <w:color w:val="auto"/>
          <w:sz w:val="24"/>
          <w:highlight w:val="none"/>
        </w:rPr>
        <w:br w:type="page" w:clear="all"/>
      </w:r>
      <w:r>
        <w:rPr>
          <w:rFonts w:hint="eastAsia" w:ascii="宋体" w:hAnsi="宋体" w:eastAsia="宋体" w:cs="宋体"/>
          <w:color w:val="auto"/>
          <w:spacing w:val="6"/>
          <w:sz w:val="24"/>
          <w:highlight w:val="none"/>
        </w:rPr>
        <w:t xml:space="preserve">5、</w:t>
      </w:r>
      <w:r>
        <w:rPr>
          <w:rFonts w:hint="eastAsia" w:ascii="宋体" w:hAnsi="宋体"/>
          <w:bCs/>
          <w:color w:val="auto"/>
          <w:sz w:val="24"/>
          <w:highlight w:val="none"/>
        </w:rPr>
        <w:t xml:space="preserve">技术偏离表</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技术偏离表</w:t>
      </w:r>
      <w:r/>
    </w:p>
    <w:p>
      <w:pPr>
        <w:pStyle w:val="703"/>
        <w:rPr>
          <w:color w:val="auto"/>
          <w:highlight w:val="none"/>
        </w:rPr>
      </w:pPr>
      <w:r>
        <w:rPr>
          <w:color w:val="auto"/>
          <w:highlight w:val="none"/>
        </w:rPr>
      </w:r>
      <w:r/>
    </w:p>
    <w:tbl>
      <w:tblPr>
        <w:tblStyle w:val="669"/>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2090"/>
        <w:gridCol w:w="1416"/>
        <w:gridCol w:w="1437"/>
        <w:gridCol w:w="3199"/>
        <w:gridCol w:w="752"/>
      </w:tblGrid>
      <w:tr>
        <w:trPr/>
        <w:tc>
          <w:tcPr>
            <w:tcW w:w="734"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序号</w:t>
            </w:r>
            <w:r/>
          </w:p>
        </w:tc>
        <w:tc>
          <w:tcPr>
            <w:tcW w:w="209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名称、品牌、规格、服务</w:t>
            </w:r>
            <w:r/>
          </w:p>
        </w:tc>
        <w:tc>
          <w:tcPr>
            <w:tcW w:w="141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招标技术要求</w:t>
            </w:r>
            <w:r/>
          </w:p>
        </w:tc>
        <w:tc>
          <w:tcPr>
            <w:tcW w:w="143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投标技术要求</w:t>
            </w:r>
            <w:r/>
          </w:p>
        </w:tc>
        <w:tc>
          <w:tcPr>
            <w:tcW w:w="319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选择项（正偏离或符合或负偏离）</w:t>
            </w:r>
            <w:r/>
          </w:p>
        </w:tc>
        <w:tc>
          <w:tcPr>
            <w:tcW w:w="752"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说明</w:t>
            </w:r>
            <w:r/>
          </w:p>
        </w:tc>
      </w:tr>
      <w:tr>
        <w:trPr/>
        <w:tc>
          <w:tcPr>
            <w:tcW w:w="73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09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37"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319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752"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73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09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37"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319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752"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73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09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37"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319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752"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734" w:type="dxa"/>
            <w:vAlign w:val="center"/>
            <w:textDirection w:val="lrTb"/>
            <w:noWrap w:val="false"/>
          </w:tcPr>
          <w:p>
            <w:pPr>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 xml:space="preserve">……</w:t>
            </w:r>
            <w:r/>
          </w:p>
        </w:tc>
        <w:tc>
          <w:tcPr>
            <w:tcW w:w="209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37"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319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752"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pStyle w:val="894"/>
        <w:ind w:right="-290"/>
        <w:spacing w:line="400" w:lineRule="exact"/>
        <w:tabs>
          <w:tab w:val="left" w:pos="9000" w:leader="none"/>
        </w:tabs>
        <w:rPr>
          <w:rFonts w:hAnsi="宋体"/>
          <w:color w:val="auto"/>
          <w:sz w:val="24"/>
          <w:highlight w:val="none"/>
        </w:rPr>
      </w:pPr>
      <w:r>
        <w:rPr>
          <w:rFonts w:hAnsi="宋体"/>
          <w:color w:val="auto"/>
          <w:sz w:val="24"/>
          <w:highlight w:val="none"/>
        </w:rPr>
      </w:r>
      <w:r/>
    </w:p>
    <w:p>
      <w:pPr>
        <w:spacing w:line="360" w:lineRule="auto"/>
        <w:rPr>
          <w:rFonts w:hint="eastAsia" w:ascii="宋体" w:hAnsi="宋体"/>
          <w:color w:val="auto"/>
          <w:sz w:val="24"/>
          <w:szCs w:val="24"/>
          <w:highlight w:val="none"/>
          <w:lang w:val="en-US" w:eastAsia="zh-CN"/>
        </w:rPr>
      </w:pPr>
      <w:r>
        <w:rPr>
          <w:rFonts w:hint="eastAsia" w:ascii="Calibri" w:hAnsi="Calibri"/>
          <w:color w:val="auto"/>
          <w:sz w:val="24"/>
          <w:szCs w:val="24"/>
          <w:highlight w:val="none"/>
        </w:rPr>
        <w:t xml:space="preserve">注：</w:t>
      </w:r>
      <w:r>
        <w:rPr>
          <w:rFonts w:hint="eastAsia"/>
          <w:color w:val="auto"/>
          <w:sz w:val="24"/>
          <w:szCs w:val="24"/>
          <w:highlight w:val="none"/>
          <w:lang w:val="en-US" w:eastAsia="zh-CN"/>
        </w:rPr>
        <w:t xml:space="preserve">投标单位提供的材料</w:t>
      </w:r>
      <w:r>
        <w:rPr>
          <w:rFonts w:hint="eastAsia" w:ascii="Calibri" w:hAnsi="Calibri"/>
          <w:color w:val="auto"/>
          <w:sz w:val="24"/>
          <w:szCs w:val="24"/>
          <w:highlight w:val="none"/>
        </w:rPr>
        <w:t xml:space="preserve">与</w:t>
      </w:r>
      <w:r>
        <w:rPr>
          <w:rFonts w:hint="eastAsia"/>
          <w:color w:val="auto"/>
          <w:sz w:val="24"/>
          <w:szCs w:val="24"/>
          <w:highlight w:val="none"/>
          <w:lang w:val="en-US" w:eastAsia="zh-CN"/>
        </w:rPr>
        <w:t xml:space="preserve">招标</w:t>
      </w:r>
      <w:r>
        <w:rPr>
          <w:rFonts w:hint="eastAsia" w:ascii="Calibri" w:hAnsi="Calibri"/>
          <w:color w:val="auto"/>
          <w:sz w:val="24"/>
          <w:szCs w:val="24"/>
          <w:highlight w:val="none"/>
        </w:rPr>
        <w:t xml:space="preserve">文件规定有偏离的，应在此表中说明。但该表不作为</w:t>
      </w:r>
      <w:r>
        <w:rPr>
          <w:rFonts w:hint="eastAsia"/>
          <w:color w:val="auto"/>
          <w:sz w:val="24"/>
          <w:szCs w:val="24"/>
          <w:highlight w:val="none"/>
          <w:lang w:val="en-US" w:eastAsia="zh-CN"/>
        </w:rPr>
        <w:t xml:space="preserve">投标单位</w:t>
      </w:r>
      <w:r>
        <w:rPr>
          <w:rFonts w:hint="eastAsia" w:ascii="Calibri" w:hAnsi="Calibri"/>
          <w:color w:val="auto"/>
          <w:sz w:val="24"/>
          <w:szCs w:val="24"/>
          <w:highlight w:val="none"/>
        </w:rPr>
        <w:t xml:space="preserve">对所投标技术、商务等的详细描述和说明的替代。</w:t>
      </w:r>
      <w:r/>
    </w:p>
    <w:p>
      <w:pPr>
        <w:pStyle w:val="878"/>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78"/>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78"/>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Times New Roman"/>
          <w:color w:val="auto"/>
          <w:sz w:val="24"/>
          <w:highlight w:val="none"/>
          <w:lang w:val="en-US" w:eastAsia="zh-CN"/>
        </w:rPr>
        <w:t xml:space="preserve">售后服务承诺书</w:t>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售后服务承诺书</w:t>
      </w:r>
      <w:r/>
    </w:p>
    <w:tbl>
      <w:tblPr>
        <w:tblStyle w:val="669"/>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3456"/>
        <w:gridCol w:w="2033"/>
        <w:gridCol w:w="2956"/>
      </w:tblGrid>
      <w:tr>
        <w:trPr>
          <w:trHeight w:val="538"/>
        </w:trPr>
        <w:tc>
          <w:tcPr>
            <w:tcW w:w="118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序号</w:t>
            </w:r>
            <w:r/>
          </w:p>
        </w:tc>
        <w:tc>
          <w:tcPr>
            <w:tcW w:w="345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售后服务内容</w:t>
            </w:r>
            <w:r/>
          </w:p>
        </w:tc>
        <w:tc>
          <w:tcPr>
            <w:tcW w:w="203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期限（时间）</w:t>
            </w:r>
            <w:r/>
          </w:p>
        </w:tc>
        <w:tc>
          <w:tcPr>
            <w:tcW w:w="295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备注</w:t>
            </w:r>
            <w:r/>
          </w:p>
        </w:tc>
      </w:tr>
      <w:tr>
        <w:trPr>
          <w:trHeight w:val="548"/>
        </w:trPr>
        <w:tc>
          <w:tcPr>
            <w:tcW w:w="118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p>
        </w:tc>
        <w:tc>
          <w:tcPr>
            <w:tcW w:w="34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03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9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369"/>
        </w:trPr>
        <w:tc>
          <w:tcPr>
            <w:tcW w:w="118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p>
        </w:tc>
        <w:tc>
          <w:tcPr>
            <w:tcW w:w="34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03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9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667"/>
        </w:trPr>
        <w:tc>
          <w:tcPr>
            <w:tcW w:w="118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p>
        </w:tc>
        <w:tc>
          <w:tcPr>
            <w:tcW w:w="34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03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9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375"/>
        </w:trPr>
        <w:tc>
          <w:tcPr>
            <w:tcW w:w="118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4</w:t>
            </w:r>
            <w:r/>
          </w:p>
        </w:tc>
        <w:tc>
          <w:tcPr>
            <w:tcW w:w="34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03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9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455"/>
        </w:trPr>
        <w:tc>
          <w:tcPr>
            <w:tcW w:w="118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5</w:t>
            </w:r>
            <w:r/>
          </w:p>
        </w:tc>
        <w:tc>
          <w:tcPr>
            <w:tcW w:w="34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03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9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373"/>
        </w:trPr>
        <w:tc>
          <w:tcPr>
            <w:tcW w:w="118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6</w:t>
            </w:r>
            <w:r/>
          </w:p>
        </w:tc>
        <w:tc>
          <w:tcPr>
            <w:tcW w:w="34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03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9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854"/>
        </w:trPr>
        <w:tc>
          <w:tcPr>
            <w:tcW w:w="118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7</w:t>
            </w:r>
            <w:r/>
          </w:p>
        </w:tc>
        <w:tc>
          <w:tcPr>
            <w:tcW w:w="34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t xml:space="preserve">……</w:t>
            </w:r>
            <w:r/>
          </w:p>
        </w:tc>
        <w:tc>
          <w:tcPr>
            <w:tcW w:w="203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95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spacing w:line="360" w:lineRule="auto"/>
        <w:rPr>
          <w:rFonts w:ascii="宋体" w:hAnsi="宋体"/>
          <w:bCs/>
          <w:color w:val="auto"/>
          <w:sz w:val="24"/>
          <w:highlight w:val="none"/>
        </w:rPr>
      </w:pPr>
      <w:r>
        <w:rPr>
          <w:rFonts w:hint="eastAsia" w:ascii="宋体" w:hAnsi="宋体"/>
          <w:bCs/>
          <w:color w:val="auto"/>
          <w:sz w:val="24"/>
          <w:highlight w:val="none"/>
        </w:rPr>
        <w:t xml:space="preserve">注：针对服务内容有必须说明的事项，请在“备注”栏目内注明；</w:t>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4"/>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4"/>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6"/>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Cs/>
          <w:color w:val="auto"/>
          <w:sz w:val="24"/>
          <w:highlight w:val="none"/>
        </w:rPr>
        <w:outlineLvl w:val="1"/>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outlineLvl w:val="1"/>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outlineLvl w:val="1"/>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outlineLvl w:val="1"/>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outlineLvl w:val="1"/>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交货</w:t>
      </w:r>
      <w:r>
        <w:rPr>
          <w:rFonts w:hint="eastAsia" w:ascii="宋体" w:hAnsi="宋体" w:eastAsia="宋体" w:cs="宋体"/>
          <w:bCs/>
          <w:color w:val="auto"/>
          <w:sz w:val="24"/>
          <w:szCs w:val="24"/>
          <w:highlight w:val="none"/>
        </w:rPr>
        <w:t xml:space="preserve">方案</w:t>
      </w:r>
      <w:r/>
    </w:p>
    <w:p>
      <w:pPr>
        <w:jc w:val="center"/>
        <w:spacing w:line="360" w:lineRule="auto"/>
        <w:rPr>
          <w:rFonts w:hint="eastAsia" w:ascii="宋体" w:hAnsi="宋体" w:eastAsia="宋体" w:cs="宋体"/>
          <w:color w:val="auto"/>
          <w:sz w:val="24"/>
          <w:highlight w:val="none"/>
        </w:rPr>
      </w:pPr>
      <w:r>
        <w:rPr>
          <w:rFonts w:hint="eastAsia" w:ascii="宋体" w:hAnsi="宋体" w:cs="宋体"/>
          <w:bCs/>
          <w:color w:val="auto"/>
          <w:sz w:val="24"/>
          <w:szCs w:val="24"/>
          <w:highlight w:val="none"/>
          <w:lang w:val="en-US" w:eastAsia="zh-CN"/>
        </w:rPr>
        <w:t xml:space="preserve">交货</w:t>
      </w:r>
      <w:r>
        <w:rPr>
          <w:rFonts w:hint="eastAsia" w:ascii="宋体" w:hAnsi="宋体" w:eastAsia="宋体" w:cs="宋体"/>
          <w:color w:val="auto"/>
          <w:sz w:val="24"/>
          <w:highlight w:val="none"/>
        </w:rPr>
        <w:t xml:space="preserve">方案</w:t>
      </w:r>
      <w:r/>
    </w:p>
    <w:tbl>
      <w:tblPr>
        <w:tblStyle w:val="669"/>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797"/>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提示：</w:t>
            </w:r>
            <w:r/>
          </w:p>
          <w:p>
            <w:pPr>
              <w:numPr>
                <w:ilvl w:val="0"/>
                <w:numId w:val="0"/>
              </w:num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应针对本次招标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项目特点及区域的具体情况编写拟采取的方案。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可根据自身情况编写，本页不够可另加页附后。</w:t>
            </w:r>
            <w:r/>
          </w:p>
        </w:tc>
      </w:tr>
      <w:tr>
        <w:trPr>
          <w:trHeight w:val="9707"/>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rPr>
                <w:rFonts w:hint="eastAsia" w:ascii="宋体" w:hAnsi="宋体" w:eastAsia="宋体" w:cs="宋体"/>
                <w:color w:val="auto"/>
                <w:sz w:val="24"/>
                <w:highlight w:val="none"/>
                <w:u w:val="single"/>
              </w:rPr>
              <w:t xml:space="preserve">                              </w:t>
            </w:r>
            <w:r/>
          </w:p>
        </w:tc>
      </w:tr>
    </w:tbl>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0"/>
        <w:spacing w:line="360" w:lineRule="auto"/>
        <w:tabs>
          <w:tab w:val="left" w:pos="8930" w:leader="none"/>
          <w:tab w:val="left" w:pos="9306" w:leader="none"/>
        </w:tabs>
        <w:rPr>
          <w:rStyle w:val="871"/>
          <w:rFonts w:hint="eastAsia" w:ascii="宋体" w:hAnsi="宋体" w:eastAsia="宋体" w:cs="宋体"/>
          <w:color w:val="auto"/>
          <w:sz w:val="24"/>
          <w:szCs w:val="24"/>
          <w:highlight w:val="none"/>
          <w:lang w:val="en-US" w:eastAsia="zh-CN"/>
        </w:rPr>
      </w:pPr>
      <w:r>
        <w:rPr>
          <w:rStyle w:val="871"/>
          <w:rFonts w:hint="eastAsia" w:hAnsi="宋体" w:eastAsia="宋体" w:cs="宋体"/>
          <w:color w:val="auto"/>
          <w:sz w:val="24"/>
          <w:szCs w:val="24"/>
          <w:highlight w:val="none"/>
          <w:lang w:val="en-US" w:eastAsia="zh-CN"/>
        </w:rPr>
        <w:t xml:space="preserve">8</w:t>
      </w:r>
      <w:r>
        <w:rPr>
          <w:rStyle w:val="871"/>
          <w:rFonts w:hint="eastAsia" w:ascii="宋体" w:hAnsi="宋体" w:eastAsia="宋体" w:cs="宋体"/>
          <w:color w:val="auto"/>
          <w:sz w:val="24"/>
          <w:szCs w:val="24"/>
          <w:highlight w:val="none"/>
          <w:lang w:val="en-US" w:eastAsia="zh-CN"/>
        </w:rPr>
        <w:t xml:space="preserve">、参加政府采购活动前三年内，在经营活动中没有重大违法记录声明</w:t>
      </w:r>
      <w:r/>
    </w:p>
    <w:p>
      <w:pPr>
        <w:pStyle w:val="890"/>
        <w:spacing w:line="360" w:lineRule="auto"/>
        <w:tabs>
          <w:tab w:val="left" w:pos="8930" w:leader="none"/>
          <w:tab w:val="left" w:pos="9306" w:leader="none"/>
        </w:tabs>
        <w:rPr>
          <w:rStyle w:val="871"/>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90"/>
        <w:spacing w:line="360" w:lineRule="auto"/>
        <w:tabs>
          <w:tab w:val="left" w:pos="8930" w:leader="none"/>
          <w:tab w:val="left" w:pos="9306" w:leader="none"/>
        </w:tabs>
        <w:rPr>
          <w:rStyle w:val="871"/>
          <w:rFonts w:hint="eastAsia" w:ascii="宋体" w:hAnsi="宋体" w:eastAsia="宋体" w:cs="宋体"/>
          <w:color w:val="auto"/>
          <w:sz w:val="24"/>
          <w:szCs w:val="24"/>
          <w:highlight w:val="none"/>
          <w:lang w:val="en-US" w:eastAsia="zh-CN"/>
        </w:rPr>
      </w:pPr>
      <w:r>
        <w:rPr>
          <w:rStyle w:val="871"/>
          <w:rFonts w:hint="eastAsia" w:ascii="宋体" w:hAnsi="宋体" w:eastAsia="宋体" w:cs="宋体"/>
          <w:color w:val="auto"/>
          <w:sz w:val="24"/>
          <w:szCs w:val="24"/>
          <w:highlight w:val="none"/>
          <w:u w:val="single"/>
          <w:lang w:val="en-US" w:eastAsia="zh-CN"/>
        </w:rPr>
        <w:t xml:space="preserve">苏州睿乔招投标咨询服务有限公司</w:t>
      </w:r>
      <w:r>
        <w:rPr>
          <w:rStyle w:val="871"/>
          <w:rFonts w:hint="eastAsia" w:ascii="宋体" w:hAnsi="宋体" w:eastAsia="宋体" w:cs="宋体"/>
          <w:color w:val="auto"/>
          <w:sz w:val="24"/>
          <w:szCs w:val="24"/>
          <w:highlight w:val="none"/>
          <w:lang w:val="en-US" w:eastAsia="zh-CN"/>
        </w:rPr>
        <w:t xml:space="preserve">：</w:t>
      </w:r>
      <w:r/>
    </w:p>
    <w:p>
      <w:pPr>
        <w:pStyle w:val="890"/>
        <w:ind w:firstLine="480"/>
        <w:keepLines w:val="0"/>
        <w:keepNext w:val="0"/>
        <w:pageBreakBefore w:val="0"/>
        <w:spacing w:line="360" w:lineRule="auto"/>
        <w:widowControl/>
        <w:tabs>
          <w:tab w:val="left" w:pos="8930" w:leader="none"/>
          <w:tab w:val="left" w:pos="9306" w:leader="none"/>
        </w:tabs>
        <w:rPr>
          <w:rStyle w:val="871"/>
          <w:rFonts w:hint="eastAsia" w:ascii="宋体" w:hAnsi="宋体" w:eastAsia="宋体" w:cs="宋体"/>
          <w:color w:val="auto"/>
          <w:sz w:val="24"/>
          <w:szCs w:val="24"/>
          <w:highlight w:val="none"/>
          <w:lang w:val="en-US" w:eastAsia="zh-CN"/>
        </w:rPr>
        <w:outlineLvl w:val="9"/>
      </w:pPr>
      <w:r>
        <w:rPr>
          <w:rStyle w:val="871"/>
          <w:rFonts w:hint="eastAsia" w:ascii="宋体" w:hAnsi="宋体" w:eastAsia="宋体" w:cs="宋体"/>
          <w:color w:val="auto"/>
          <w:sz w:val="24"/>
          <w:szCs w:val="24"/>
          <w:highlight w:val="none"/>
          <w:lang w:val="en-US" w:eastAsia="zh-CN"/>
        </w:rPr>
        <w:t xml:space="preserve">我单位</w:t>
      </w:r>
      <w:r>
        <w:rPr>
          <w:rStyle w:val="871"/>
          <w:rFonts w:hint="eastAsia" w:ascii="宋体" w:hAnsi="宋体" w:eastAsia="宋体" w:cs="宋体"/>
          <w:color w:val="auto"/>
          <w:sz w:val="24"/>
          <w:szCs w:val="24"/>
          <w:highlight w:val="none"/>
          <w:u w:val="single"/>
          <w:lang w:val="en-US" w:eastAsia="zh-CN"/>
        </w:rPr>
        <w:t xml:space="preserve">              </w:t>
      </w:r>
      <w:r>
        <w:rPr>
          <w:rStyle w:val="871"/>
          <w:rFonts w:hint="eastAsia" w:ascii="宋体" w:hAnsi="宋体" w:eastAsia="宋体" w:cs="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lang w:val="en-US" w:eastAsia="zh-CN"/>
        </w:rPr>
      </w:pPr>
      <w:r>
        <w:rPr>
          <w:rStyle w:val="871"/>
          <w:rFonts w:hint="eastAsia" w:ascii="宋体" w:hAnsi="宋体" w:eastAsia="宋体" w:cs="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br w:type="page" w:clear="all"/>
      </w:r>
      <w:r>
        <w:rPr>
          <w:rFonts w:hint="eastAsia" w:hAnsi="宋体" w:eastAsia="宋体" w:cs="宋体"/>
          <w:bCs/>
          <w:color w:val="auto"/>
          <w:sz w:val="24"/>
          <w:highlight w:val="none"/>
          <w:lang w:val="en-US" w:eastAsia="zh-CN"/>
        </w:rPr>
        <w:t xml:space="preserve">9</w:t>
      </w:r>
      <w:r>
        <w:rPr>
          <w:rFonts w:hint="eastAsia" w:ascii="宋体" w:hAnsi="宋体" w:eastAsia="宋体" w:cs="宋体"/>
          <w:color w:val="auto"/>
          <w:sz w:val="24"/>
          <w:highlight w:val="none"/>
        </w:rPr>
        <w:t xml:space="preserve">、资格证明文件</w:t>
      </w:r>
      <w:r/>
    </w:p>
    <w:p>
      <w:pPr>
        <w:pStyle w:val="880"/>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（1）关于资格文件的声明函</w:t>
      </w:r>
      <w:r/>
    </w:p>
    <w:p>
      <w:pPr>
        <w:pStyle w:val="880"/>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p>
    <w:p>
      <w:pPr>
        <w:pStyle w:val="880"/>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80"/>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880"/>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ind w:firstLine="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（2）投标单位情况表</w:t>
      </w:r>
      <w:r/>
    </w:p>
    <w:p>
      <w:pPr>
        <w:ind w:firstLine="4226"/>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投标单位情况表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669"/>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6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其中：有中高级以上职称的人数</w:t>
            </w:r>
            <w:r/>
          </w:p>
        </w:tc>
        <w:tc>
          <w:tcPr>
            <w:tcW w:w="11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180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销售收入</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       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gridSpan w:val="2"/>
            <w:tcW w:w="25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最近2年内在经营过程中受到何种奖励或处分</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最近3年内主要负责人有无经济犯罪被司法机关追究的</w:t>
            </w:r>
            <w:r>
              <w:rPr>
                <w:rFonts w:hint="eastAsia" w:ascii="宋体" w:hAnsi="宋体" w:cs="宋体"/>
                <w:color w:val="auto"/>
                <w:sz w:val="24"/>
                <w:highlight w:val="none"/>
                <w:lang w:eastAsia="zh-CN"/>
              </w:rPr>
              <w:t xml:space="preserve">情况</w:t>
            </w:r>
            <w:r>
              <w:rPr>
                <w:rFonts w:hint="eastAsia" w:ascii="宋体" w:hAnsi="宋体" w:eastAsia="宋体" w:cs="宋体"/>
                <w:color w:val="auto"/>
                <w:sz w:val="24"/>
                <w:highlight w:val="none"/>
              </w:rPr>
              <w:t xml:space="preserve">及说明</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获得技术认证的工程师及简介</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left"/>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中小企业声明函（格式）</w:t>
      </w:r>
      <w:r/>
    </w:p>
    <w:p>
      <w:pPr>
        <w:numPr>
          <w:ilvl w:val="0"/>
          <w:numId w:val="0"/>
        </w:num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中小企业声明函（货物）</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 企业发展管理办法》（财库﹝2020﹞46 号）的规定，本公司 （联合体）参加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（项目名称）采购活动，提供的货物全部由符合政策要求的中小企业制造。相关企业（含联合体中的中小企业、签订分包意向协议的中小企业） 的具体情况如下：</w:t>
      </w:r>
      <w:r/>
    </w:p>
    <w:p>
      <w:pPr>
        <w:numPr>
          <w:ilvl w:val="0"/>
          <w:numId w:val="1"/>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（采购文件中明确的所属行业） 行业；制造商为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 型企业、微型企业）； </w:t>
      </w:r>
      <w:r/>
    </w:p>
    <w:p>
      <w:pPr>
        <w:numPr>
          <w:ilvl w:val="0"/>
          <w:numId w:val="1"/>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（采购文件中明确的所属行业）行业；制造商为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 企业、微型企业）；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企业名称（盖章）： </w:t>
      </w:r>
      <w:r/>
    </w:p>
    <w:p>
      <w:pPr>
        <w:ind w:firstLine="480"/>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注：从业人员、营业收入、资产总额填报上一年度数据，无上一年度数据的新成立企业可不填报。</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、投标（响应）保证承诺书（参考格式）</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投标（响应）保证承诺书</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w:t>
      </w:r>
      <w:r>
        <w:rPr>
          <w:rFonts w:hint="eastAsia" w:ascii="宋体" w:hAnsi="宋体" w:eastAsia="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3、中标（成交）后不按本采购文件规定向采购人提交履约保证金；</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4、中标（成交）后不按本采购文件规定向贵方缴纳采购代理费。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投标（响应）人：（盖公章）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spacing w:line="360" w:lineRule="auto"/>
        <w:tabs>
          <w:tab w:val="left" w:pos="8930" w:leader="none"/>
          <w:tab w:val="left" w:pos="930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4"/>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、残疾人福利性单位声明函</w:t>
      </w:r>
      <w:r/>
    </w:p>
    <w:p>
      <w:pPr>
        <w:jc w:val="left"/>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供应商：（单位盖章）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jc w:val="center"/>
        <w:spacing w:before="75" w:beforeAutospacing="0" w:after="75" w:afterAutospacing="0"/>
        <w:widowControl/>
        <w:rPr>
          <w:rStyle w:val="85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jc w:val="left"/>
        <w:rPr>
          <w:rFonts w:hint="eastAsia" w:ascii="宋体" w:hAnsi="宋体" w:eastAsia="宋体" w:cs="宋体"/>
          <w:b w:val="0"/>
          <w:bCs/>
          <w:color w:val="auto"/>
          <w:sz w:val="24"/>
          <w:szCs w:val="24"/>
          <w:highlight w:val="none"/>
        </w:rPr>
        <w:outlineLvl w:val="0"/>
      </w:pPr>
      <w:r>
        <w:rPr>
          <w:rStyle w:val="857"/>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关于投标（响应）报价合理性的澄清说明</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pStyle w:val="6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66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4"/>
          <w:szCs w:val="24"/>
          <w:highlight w:val="none"/>
          <w:lang w:val="zh-CN"/>
        </w:rPr>
      </w:pPr>
      <w:r/>
      <w:bookmarkStart w:id="48" w:name="OLE_LINK24"/>
      <w:r/>
      <w:bookmarkStart w:id="49" w:name="OLE_LINK23"/>
      <w:r/>
      <w:bookmarkStart w:id="50" w:name="OLE_LINK21"/>
      <w:r>
        <w:rPr>
          <w:rFonts w:hint="eastAsia" w:ascii="宋体" w:hAnsi="宋体" w:eastAsia="宋体" w:cs="宋体"/>
          <w:b/>
          <w:color w:val="auto"/>
          <w:sz w:val="24"/>
          <w:szCs w:val="24"/>
          <w:highlight w:val="none"/>
          <w:lang w:val="zh-CN"/>
        </w:rPr>
        <w:t xml:space="preserve">备注:根据招标（</w:t>
      </w:r>
      <w:r>
        <w:rPr>
          <w:rFonts w:hint="eastAsia" w:ascii="宋体" w:hAnsi="宋体" w:eastAsia="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lang w:val="zh-CN"/>
        </w:rPr>
        <w:t xml:space="preserve">文件第二章“投标人须知”第25.6条要求，在评标过程中当出现投标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报价低于采购项目预算50%或者投标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报价低于采购项目最高限价45%或者评标委员会认定的供应商报价过低、有可能影响产品质量或者不能诚信履约的其他情形时,评标委员会应当启动异常低价投标审查程序。评标委员会应当要求投标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人出具书面说明及必要的证明材料，对投标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价格作出解释。书面说明、证明材料主要是项目具体成本测算等与报价合理性相关的说明、材料（例如进货合同及发票、往期类似项目合同报价清单、库存清单、仓库照片等，最终以评标委员会具体要求为准）。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处理。</w:t>
      </w:r>
      <w:bookmarkEnd w:id="48"/>
      <w:r/>
      <w:bookmarkEnd w:id="49"/>
      <w:r/>
      <w:bookmarkEnd w:id="50"/>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3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887"/>
        <w:jc w:val="center"/>
        <w:spacing w:before="75" w:beforeAutospacing="0" w:after="75" w:afterAutospacing="0"/>
        <w:widowControl/>
        <w:rPr>
          <w:rStyle w:val="857"/>
          <w:rFonts w:hint="eastAsia" w:ascii="宋体" w:hAnsi="宋体" w:eastAsia="宋体" w:cs="宋体"/>
          <w:b w:val="0"/>
          <w:bCs/>
          <w:color w:val="auto"/>
          <w:sz w:val="36"/>
          <w:szCs w:val="36"/>
          <w:highlight w:val="none"/>
        </w:rPr>
      </w:pPr>
      <w:r>
        <w:rPr>
          <w:rStyle w:val="857"/>
          <w:rFonts w:hint="eastAsia" w:ascii="宋体" w:hAnsi="宋体" w:eastAsia="宋体" w:cs="宋体"/>
          <w:b w:val="0"/>
          <w:bCs/>
          <w:color w:val="auto"/>
          <w:sz w:val="36"/>
          <w:szCs w:val="36"/>
          <w:highlight w:val="none"/>
        </w:rPr>
        <w:t xml:space="preserve">第四章 招标书</w:t>
      </w:r>
      <w:r/>
    </w:p>
    <w:p>
      <w:pPr>
        <w:pStyle w:val="885"/>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苏州睿乔招投标咨询服务有限公司</w:t>
      </w:r>
      <w:r>
        <w:rPr>
          <w:rFonts w:hint="eastAsia" w:ascii="宋体" w:hAnsi="宋体" w:eastAsia="宋体" w:cs="宋体"/>
          <w:color w:val="auto"/>
          <w:highlight w:val="none"/>
        </w:rPr>
        <w:t xml:space="preserve">受</w:t>
      </w:r>
      <w:r>
        <w:rPr>
          <w:rFonts w:hint="eastAsia" w:ascii="宋体" w:hAnsi="宋体" w:cs="宋体"/>
          <w:bCs/>
          <w:color w:val="auto"/>
          <w:highlight w:val="none"/>
          <w:lang w:eastAsia="zh-CN"/>
        </w:rPr>
        <w:t xml:space="preserve">苏州市姑苏区沧浪实验幼儿园</w:t>
      </w:r>
      <w:r>
        <w:rPr>
          <w:rFonts w:hint="eastAsia" w:ascii="宋体" w:hAnsi="宋体" w:eastAsia="宋体" w:cs="宋体"/>
          <w:color w:val="auto"/>
          <w:highlight w:val="none"/>
        </w:rPr>
        <w:t xml:space="preserve">的委托，就</w:t>
      </w:r>
      <w:r>
        <w:rPr>
          <w:rFonts w:hint="eastAsia" w:ascii="宋体" w:hAnsi="宋体" w:cs="宋体"/>
          <w:bCs/>
          <w:color w:val="auto"/>
          <w:highlight w:val="none"/>
          <w:lang w:eastAsia="zh-CN"/>
        </w:rPr>
        <w:t xml:space="preserve">苏州市姑苏区沧浪实验幼儿园玩具项目</w:t>
      </w:r>
      <w:r>
        <w:rPr>
          <w:rFonts w:hint="eastAsia" w:ascii="宋体" w:hAnsi="宋体" w:eastAsia="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JSZC-320508-SZRQ-G2025-0027</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二、招标项目：</w:t>
      </w:r>
      <w:r>
        <w:rPr>
          <w:rFonts w:hint="eastAsia" w:ascii="宋体" w:hAnsi="宋体" w:cs="宋体"/>
          <w:bCs/>
          <w:color w:val="auto"/>
          <w:sz w:val="24"/>
          <w:highlight w:val="none"/>
          <w:lang w:eastAsia="zh-CN"/>
        </w:rPr>
        <w:t xml:space="preserve">苏州市姑苏区沧浪实验幼儿园玩具项目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三、招标项目内容：</w:t>
      </w:r>
      <w:r/>
    </w:p>
    <w:p>
      <w:pPr>
        <w:jc w:val="left"/>
        <w:spacing w:line="360" w:lineRule="auto"/>
        <w:rPr>
          <w:rFonts w:hint="default" w:ascii="宋体" w:hAnsi="宋体" w:cs="宋体"/>
          <w:b/>
          <w:bCs w:val="0"/>
          <w:color w:val="auto"/>
          <w:sz w:val="24"/>
          <w:szCs w:val="24"/>
          <w:highlight w:val="none"/>
          <w:lang w:val="en-US" w:eastAsia="zh-CN"/>
        </w:rPr>
      </w:pPr>
      <w:r/>
      <w:bookmarkStart w:id="51" w:name="_Toc5922"/>
      <w:r>
        <w:rPr>
          <w:rFonts w:hint="eastAsia" w:ascii="宋体" w:hAnsi="宋体" w:cs="宋体"/>
          <w:b/>
          <w:bCs w:val="0"/>
          <w:color w:val="auto"/>
          <w:sz w:val="24"/>
          <w:szCs w:val="24"/>
          <w:highlight w:val="none"/>
          <w:lang w:val="en-US" w:eastAsia="zh-CN"/>
        </w:rPr>
        <w:t xml:space="preserve">（一）项目清单</w:t>
      </w:r>
      <w:r/>
    </w:p>
    <w:tbl>
      <w:tblPr>
        <w:tblStyle w:val="669"/>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779"/>
        <w:gridCol w:w="4435"/>
        <w:gridCol w:w="3228"/>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9"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5"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8"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9"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5"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托班玩具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8"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b w:val="0"/>
                <w:bCs w:val="0"/>
                <w:i w:val="0"/>
                <w:iCs w:val="0"/>
                <w:caps w:val="0"/>
                <w:color w:val="auto"/>
                <w:spacing w:val="0"/>
                <w:sz w:val="24"/>
                <w:szCs w:val="24"/>
                <w:highlight w:val="none"/>
                <w:lang w:val="en-US" w:eastAsia="zh-CN"/>
              </w:rPr>
              <w:t xml:space="preserve">1批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9"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5"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小班玩具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8"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b w:val="0"/>
                <w:bCs w:val="0"/>
                <w:i w:val="0"/>
                <w:iCs w:val="0"/>
                <w:caps w:val="0"/>
                <w:color w:val="auto"/>
                <w:spacing w:val="0"/>
                <w:sz w:val="24"/>
                <w:szCs w:val="24"/>
                <w:highlight w:val="none"/>
                <w:lang w:val="en-US" w:eastAsia="zh-CN"/>
              </w:rPr>
              <w:t xml:space="preserve">1批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9"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5"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中班玩具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8"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b w:val="0"/>
                <w:bCs w:val="0"/>
                <w:i w:val="0"/>
                <w:iCs w:val="0"/>
                <w:caps w:val="0"/>
                <w:color w:val="auto"/>
                <w:spacing w:val="0"/>
                <w:sz w:val="24"/>
                <w:szCs w:val="24"/>
                <w:highlight w:val="none"/>
                <w:lang w:val="en-US" w:eastAsia="zh-CN"/>
              </w:rPr>
              <w:t xml:space="preserve">1批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9"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5"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大班玩具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8"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b w:val="0"/>
                <w:bCs w:val="0"/>
                <w:i w:val="0"/>
                <w:iCs w:val="0"/>
                <w:caps w:val="0"/>
                <w:color w:val="auto"/>
                <w:spacing w:val="0"/>
                <w:sz w:val="24"/>
                <w:szCs w:val="24"/>
                <w:highlight w:val="none"/>
                <w:lang w:val="en-US" w:eastAsia="zh-CN"/>
              </w:rPr>
              <w:t xml:space="preserve">1批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9"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5"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科学室玩具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8"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b w:val="0"/>
                <w:bCs w:val="0"/>
                <w:i w:val="0"/>
                <w:iCs w:val="0"/>
                <w:caps w:val="0"/>
                <w:color w:val="auto"/>
                <w:spacing w:val="0"/>
                <w:sz w:val="24"/>
                <w:szCs w:val="24"/>
                <w:highlight w:val="none"/>
                <w:lang w:val="en-US" w:eastAsia="zh-CN"/>
              </w:rPr>
              <w:t xml:space="preserve">1批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9"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5"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建构玩具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8"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b w:val="0"/>
                <w:bCs w:val="0"/>
                <w:i w:val="0"/>
                <w:iCs w:val="0"/>
                <w:caps w:val="0"/>
                <w:color w:val="auto"/>
                <w:spacing w:val="0"/>
                <w:sz w:val="24"/>
                <w:szCs w:val="24"/>
                <w:highlight w:val="none"/>
                <w:lang w:val="en-US" w:eastAsia="zh-CN"/>
              </w:rPr>
              <w:t xml:space="preserve">1批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9"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5"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户外体育玩具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8"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b w:val="0"/>
                <w:bCs w:val="0"/>
                <w:i w:val="0"/>
                <w:iCs w:val="0"/>
                <w:caps w:val="0"/>
                <w:color w:val="auto"/>
                <w:spacing w:val="0"/>
                <w:sz w:val="24"/>
                <w:szCs w:val="24"/>
                <w:highlight w:val="none"/>
                <w:lang w:val="en-US" w:eastAsia="zh-CN"/>
              </w:rPr>
              <w:t xml:space="preserve">1批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9"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5"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rPr>
              <w:t xml:space="preserve">户外大型玩具区域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8"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b w:val="0"/>
                <w:bCs w:val="0"/>
                <w:i w:val="0"/>
                <w:iCs w:val="0"/>
                <w:caps w:val="0"/>
                <w:color w:val="auto"/>
                <w:spacing w:val="0"/>
                <w:sz w:val="24"/>
                <w:szCs w:val="24"/>
                <w:highlight w:val="none"/>
                <w:lang w:val="en-US" w:eastAsia="zh-CN"/>
              </w:rPr>
              <w:t xml:space="preserve">1批</w:t>
            </w:r>
            <w:r/>
          </w:p>
        </w:tc>
      </w:tr>
    </w:tbl>
    <w:p>
      <w:pPr>
        <w:pStyle w:val="670"/>
        <w:ind w:left="0" w:firstLine="0"/>
        <w:spacing w:line="360" w:lineRule="auto"/>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详细清单</w:t>
      </w:r>
      <w:r/>
    </w:p>
    <w:tbl>
      <w:tblPr>
        <w:tblStyle w:val="669"/>
        <w:tblW w:w="94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919"/>
        <w:gridCol w:w="1148"/>
        <w:gridCol w:w="702"/>
        <w:gridCol w:w="2552"/>
        <w:gridCol w:w="2776"/>
        <w:gridCol w:w="673"/>
        <w:gridCol w:w="672"/>
      </w:tblGrid>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序号</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名称</w:t>
            </w:r>
            <w:r/>
          </w:p>
        </w:tc>
        <w:tc>
          <w:tcPr>
            <w:shd w:val="clear" w:color="auto" w:fill="auto"/>
            <w:tcMar>
              <w:left w:w="15" w:type="dxa"/>
              <w:top w:w="15" w:type="dxa"/>
              <w:right w:w="15" w:type="dxa"/>
            </w:tcMar>
            <w:tcW w:w="2552"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规格</w:t>
            </w:r>
            <w:r/>
          </w:p>
        </w:tc>
        <w:tc>
          <w:tcPr>
            <w:shd w:val="clear" w:color="auto" w:fill="auto"/>
            <w:tcMar>
              <w:left w:w="15" w:type="dxa"/>
              <w:top w:w="15" w:type="dxa"/>
              <w:right w:w="15" w:type="dxa"/>
            </w:tcMar>
            <w:tcW w:w="2776"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参数</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数量</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单位</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left"/>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一、托班玩具</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both"/>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1、身体健康</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gridSpan w:val="2"/>
            <w:shd w:val="clear" w:color="auto" w:fill="auto"/>
            <w:tcMar>
              <w:left w:w="15" w:type="dxa"/>
              <w:top w:w="15" w:type="dxa"/>
              <w:right w:w="15" w:type="dxa"/>
            </w:tcMar>
            <w:tcW w:w="1850"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推杆动物-小鸭子</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鸭子规格155*155*57mm，推杆：直径12*485mm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rPr>
              <w:suppressLineNumbers w:val="0"/>
            </w:pPr>
            <w:r>
              <w:rPr>
                <w:rFonts w:hint="eastAsia" w:ascii="宋体" w:hAnsi="宋体" w:eastAsia="宋体" w:cs="宋体"/>
                <w:i w:val="0"/>
                <w:color w:val="auto"/>
                <w:sz w:val="21"/>
                <w:szCs w:val="21"/>
                <w:highlight w:val="none"/>
                <w:u w:val="none"/>
                <w:lang w:val="en-US" w:eastAsia="zh-CN"/>
              </w:rPr>
              <w:t xml:space="preserve">材质：恐龙：中密度纤维板 木棒：实木，油漆采用环保水性漆。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gridSpan w:val="2"/>
            <w:shd w:val="clear" w:color="auto" w:fill="auto"/>
            <w:tcMar>
              <w:left w:w="15" w:type="dxa"/>
              <w:top w:w="15" w:type="dxa"/>
              <w:right w:w="15" w:type="dxa"/>
            </w:tcMar>
            <w:tcW w:w="1850"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推杆动物-小恐龙</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推杆：直径12m*485mm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材质：恐龙：中密度纤维板 木棒：实木，油漆采用环保水性漆。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拖拉小狗</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232*168*70mm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材质：夹板+榉木，油漆采用环保水性漆。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拖拉小动物-鳄鱼</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包装尺寸：188*73*65mm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材质：中密度纤维板，榉木，油漆采用环保水性漆。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软胶浮雕积木</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包装尺寸：243*63*183H 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材质：环保PVC。</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配件：10块软胶积木。</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r>
            <w:r>
              <w:rPr>
                <w:rFonts w:hint="eastAsia" w:ascii="宋体" w:hAnsi="宋体" w:eastAsia="宋体" w:cs="宋体"/>
                <w:i w:val="0"/>
                <w:color w:val="auto"/>
                <w:sz w:val="21"/>
                <w:szCs w:val="21"/>
                <w:highlight w:val="none"/>
                <w:u w:val="none"/>
                <w:lang w:val="en-US" w:eastAsia="zh-CN"/>
              </w:rPr>
              <w:t xml:space="preserve">奇趣球</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包装尺寸：200*50*150mm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1此产品是由六个不同形状的奇趣球组成；每个奇趣球正面为形态各异的笑脸，背面为一个“BB”孔；软胶材质，有一定的柔软度。</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动物益智套盒</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100*100*280mm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材质：荷木+夹板，油漆采用环保水性漆。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森林串珠</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64*64*230mm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材质：榉木，油漆采用环保水性漆。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多彩分类积木盒</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170*122*153Hmm。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材质：夹板，桦木，ABS，PMMA，锦纶。</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配件：6个形状积木块，1个六边形积木盒。油漆采用环保水性漆。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敲敲乐</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435*350*260mm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材质：榉木+荷木+中密度纤维板+ABS，油漆采用环保水性漆。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100片彩色花园积木</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包装尺寸：465*465*290mm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材质：荷木+枫木，油漆采用环保水性漆。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海洋大救援</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包装盒Ø220*123H 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材质：夹板，山毛榉木，ABS，钢，纸，油漆采用环保水性漆。</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配件：鱼竿2根，鱼18条，垃圾袋7个，塑料瓶7个，转盘1个，说明书1本。</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both"/>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2、逻辑思维</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毛毛虫排排看</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375*160*16H 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材质：桦木胶合板，油漆采用环保水性漆。</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配件：1底板、10块印有毛毛虫身体的拼块。</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城市交通磁力迷宫</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236*196*15mm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材质：夹板，油漆采用环保水性漆。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磁力迷宫</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305*225*17mm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材质：杨木夹板，油漆采用环保水性漆。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钥匙拼图</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300*75*75mm；积木片：厚度10mm；中间圆柱：直径15mm；底座：300*75*15mm；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材质：底座/榉木（使用浅色榉木）、钥匙片/槐木，柱子/榉木；油漆采用环保水性漆。</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部件：单孔钥匙：深蓝*1，橙色*1，浅绿*1；“一”形双孔钥匙：紫色*1，深绿*1，红色*1；三孔钥匙：黄色*1，深蓝*1，粉色*1；“L”形双孔钥匙：浅蓝*1，红色*1，黄色*1</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both"/>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3、语言逻辑</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宝宝认世界</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160*160*30mm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材质：聚酯纤维</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宝宝认物</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160*160*30mm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材质：聚酯纤维</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宝宝数一数</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160*160*30mm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材质：聚酯纤维</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拉拉布书-好好拉臭臭</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180*170*30mm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材质：聚酯纤维</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拉拉布书-好好睡觉</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180*170*30mm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材质：聚酯纤维</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拉拉布书-好好刷牙</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180*170*30mm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材质：聚酯纤维</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拉拉布书-好好洗澡</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180*170*30mm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材质：聚酯纤维</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第一本形状书</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110*120*20mm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材质：聚酯纤维</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第一本数数书</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110*120*20mm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材质：聚酯纤维</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认识形状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110*110*30mm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材质：聚酯纤维</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我爱运动，我健康</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110*110*30mm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材质：聚酯纤维</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蝴蝶手偶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长约200mm。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13</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奶牛手偶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长约210mm。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猪手偶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长约210mm。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母鸡手偶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长约210mm。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鸭子手偶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长约210mm。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17</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狗手偶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长约210mm。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18</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绵羊手偶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长约210mm。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19</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长颈鹿手偶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长约210mm。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20</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毛毛虫手偶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长约200mm。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大象手偶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长约210mm。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公仔抱抱熊</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高800MM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23</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娃娃</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高800MM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哈喽kitty</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高800MM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狮子玩偶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高650MM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材质：超柔短绒100%涤。</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both"/>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4、社会认知</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肉类切切看</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198*184*55mm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材质：榉木、夹板、荷木</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蔬菜切切看</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198*184*55mm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材质：榉木、夹板、荷木</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水果切切看</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198*184*55mm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材质：榉木、夹板、荷木</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甜点切切看</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198*184*55mm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材质：榉木、夹板、荷木</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美食家厨师服</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包装盒：240*200*52H 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材质：100%涤纶、PP。</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配件：1围裙、1手套、1抹布、1量勺、1帽子。</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医生套装</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220*160*70mm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材质：荷木、榉木</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梳妆包</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190*160*80H 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材质：荷木、榉木、密度板、PMMA、TPE、牛津布、铁。油漆采用环保水性漆。</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配件：1个梳妆收纳包、2根花头绳、1把梳子、1面镜子、1瓶香水、1盒眼影、1盒粉底霜、1支口红、1瓶指甲油、1根发带。</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小小园丁种植温室</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227*172*157H 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材质：竹子、PET、PE</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配件：1个底座、1个透明盖、1个竹筒。</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both"/>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5、艺术启蒙</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手提8音琴彩色</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310*150*30mm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材质：金属琴片，木质底座，油漆采用环保水性漆。                               说明：钢片彩色琴片，C调，经过专业调音，音准符合教学标准，橡木底座打磨光滑无毛刺，有提手，附琴锤1只</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6寸羊皮铃鼓</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154*45mm </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材质：木质鼓圈，羊皮鼓面，                         说明：桦木鼓圈打磨光滑无毛刺，表面清漆涂层，鼓圈配4组铃片，红色织带围边，天然羊皮鼓面。</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4寸羊皮铃鼓</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102*45mm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材质：木质鼓圈，羊皮鼓面，                         说明：桦木鼓圈打磨光滑无毛刺，表面清漆涂层，鼓圈配3组铃片，红色织带围边，天然羊皮鼓面。</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雨声安抚沙漏，红色</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Ø50*200H 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材质：胶合板、榉木、荷木、ABS、PMMA。</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配件：1个安抚沙漏。</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雨声安抚沙漏，蓝色</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Ø50*200H 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材质：胶合板、榉木、荷木、ABS、PMMA。</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配件：1个安抚沙漏。</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left"/>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二、小班玩具</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磁力七巧板</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325*215*35mm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材质：ABS塑料，钕磁铁。</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鼻涕虫花园</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210*75*170mm </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塑料</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r>
            <w:r>
              <w:rPr>
                <w:rFonts w:hint="eastAsia" w:ascii="宋体" w:hAnsi="宋体" w:eastAsia="宋体" w:cs="宋体"/>
                <w:i w:val="0"/>
                <w:color w:val="auto"/>
                <w:sz w:val="21"/>
                <w:szCs w:val="21"/>
                <w:highlight w:val="none"/>
                <w:u w:val="none"/>
                <w:lang w:val="en-US" w:eastAsia="zh-CN"/>
              </w:rPr>
              <w:t xml:space="preserve">耳机（故事）</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8G卡</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含读卡器</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r>
            <w:r>
              <w:rPr>
                <w:rFonts w:hint="eastAsia" w:ascii="宋体" w:hAnsi="宋体" w:eastAsia="宋体" w:cs="宋体"/>
                <w:i w:val="0"/>
                <w:color w:val="auto"/>
                <w:sz w:val="21"/>
                <w:szCs w:val="21"/>
                <w:highlight w:val="none"/>
                <w:u w:val="none"/>
                <w:lang w:val="en-US" w:eastAsia="zh-CN"/>
              </w:rPr>
              <w:t xml:space="preserve">娃娃 简单的娃娃塑料软质</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130*350*550mm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搪胶、塑料、布料</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对</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艺术磁贴魔盒</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300 * 230 * 60mm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91片不同颜色的磁片可以自由组合，创作自己想要的图案。</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万花筒</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包装尺寸：224 * 223 * 112mm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t xml:space="preserve">荷木、亚克力</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40块螺丝螺帽套</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布袋：250*180mm（袋口绳子周长360mm)</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40块螺丝螺帽套</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布袋：250*180mm（袋口绳子周长360mm)</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40块螺丝螺帽套</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平衡游戏彩虹积木</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320*265*43mm；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榉木，产品采用喷漆+丝印（彩虹条露木纹）工艺，表面打磨光滑，不可有毛刺，油漆面为半哑光水性漆面。</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left"/>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三、中班玩具</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gridSpan w:val="2"/>
            <w:shd w:val="clear" w:color="auto" w:fill="auto"/>
            <w:tcMar>
              <w:left w:w="15" w:type="dxa"/>
              <w:top w:w="15" w:type="dxa"/>
              <w:right w:w="15" w:type="dxa"/>
            </w:tcMar>
            <w:tcW w:w="1850"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思维游戏（中级）</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数量：844件/套 ，8盒</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主体材质：ABS、榉木、铜版纸，油漆采用环保水性漆。</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Style w:val="874"/>
                <w:rFonts w:hint="eastAsia" w:ascii="宋体" w:hAnsi="宋体" w:eastAsia="宋体" w:cs="宋体"/>
                <w:b/>
                <w:bCs/>
                <w:color w:val="auto"/>
                <w:sz w:val="21"/>
                <w:szCs w:val="21"/>
                <w:highlight w:val="none"/>
                <w:lang w:val="en-US" w:eastAsia="zh-CN"/>
              </w:rPr>
              <w:t xml:space="preserve">详见下表详细清单</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gridSpan w:val="2"/>
            <w:shd w:val="clear" w:color="auto" w:fill="auto"/>
            <w:tcMar>
              <w:left w:w="15" w:type="dxa"/>
              <w:top w:w="15" w:type="dxa"/>
              <w:right w:w="15" w:type="dxa"/>
            </w:tcMar>
            <w:tcW w:w="1850"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磁力七巧板</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325*215*35mm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材质：ABS塑料，钕磁铁，油漆采用环保水性漆。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gridSpan w:val="2"/>
            <w:shd w:val="clear" w:color="auto" w:fill="auto"/>
            <w:tcMar>
              <w:left w:w="15" w:type="dxa"/>
              <w:top w:w="15" w:type="dxa"/>
              <w:right w:w="15" w:type="dxa"/>
            </w:tcMar>
            <w:tcW w:w="1850"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串线形状盒</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串线板：5mm厚全椴夹板；</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绳子：两头塑封晴纶绳；绳子两端包头长度：15mm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串线板：5mm厚全椴夹板；</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绳子：两头塑封晴纶绳；绳子两端包头长度：15mm</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平衡游戏</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规格：280*78*210mm；砝码φ20mm/高15/25/35mm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材质：天平架： 浅色榉木； 蓝色托盘：密度板； 红色砝码：禾木； 红色指针：榉木；油漆采用环保水性漆。</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产品木头部分湿度要求低于14度，天平架上，放置砝码的地方，槽内要打磨光滑，功能要求，此天平要求左右两边移动灵活，每个托盘上</w:t>
            </w:r>
            <w:r>
              <w:rPr>
                <w:rFonts w:hint="eastAsia" w:ascii="宋体" w:hAnsi="宋体" w:cs="宋体"/>
                <w:i w:val="0"/>
                <w:color w:val="auto"/>
                <w:sz w:val="21"/>
                <w:szCs w:val="21"/>
                <w:highlight w:val="none"/>
                <w:u w:val="none"/>
                <w:lang w:val="en-US" w:eastAsia="zh-CN"/>
              </w:rPr>
              <w:t xml:space="preserve">放置</w:t>
            </w:r>
            <w:r>
              <w:rPr>
                <w:rFonts w:hint="eastAsia" w:ascii="宋体" w:hAnsi="宋体" w:eastAsia="宋体" w:cs="宋体"/>
                <w:i w:val="0"/>
                <w:color w:val="auto"/>
                <w:sz w:val="21"/>
                <w:szCs w:val="21"/>
                <w:highlight w:val="none"/>
                <w:u w:val="none"/>
                <w:lang w:val="en-US" w:eastAsia="zh-CN"/>
              </w:rPr>
              <w:t xml:space="preserve">砝码的时候，天平杆都会相应倾斜。榉木的天平架整体上清漆，产品采用环保水性油漆。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滚球管道积木</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36PCS</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优质ABS、亚克力材质</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含直管、弯管、T型管、使用说明书。</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rPr>
              <w:t xml:space="preserve">6</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鼻涕虫花园</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210*75*170mm </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塑料</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耳机（故事）</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8G卡</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含读卡器</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剪刀</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约135mm安全圆角剪刀头</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材质：不锈钢、塑料，保证幼儿在创作过程中的安全问题。全塑料包裹设计，双拼色设计</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60</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把</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佩佩&amp;朋友们六面拼图</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rPr>
              <w:t xml:space="preserve">包装尺寸：</w:t>
            </w:r>
            <w:r>
              <w:rPr>
                <w:rFonts w:hint="eastAsia" w:ascii="宋体" w:hAnsi="宋体" w:eastAsia="宋体" w:cs="宋体"/>
                <w:i w:val="0"/>
                <w:color w:val="auto"/>
                <w:sz w:val="21"/>
                <w:szCs w:val="21"/>
                <w:highlight w:val="none"/>
                <w:u w:val="none"/>
                <w:lang w:val="en-US" w:eastAsia="zh-CN"/>
              </w:rPr>
              <w:t xml:space="preserve">200*50*180mm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材质：多层板，油漆采用环保水性漆。共有九个方块的立体拼图，每个方块有6个面，可以拼成6个不同的佩佩和它朋友们的角色场景。</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left"/>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四、大班玩具</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阿基米德积木（原木色）</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2100件套，</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单片尺寸：118*24*8MM；厚度8mm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1、采用优质松木</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2、工艺:原木无油漆，磨圆角、光滑无毛刺。</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阿基米德积木（彩色</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500件套，</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单片尺寸：118*24*8MM；厚度8mm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1、采用优质松木</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2、工艺:彩色水性漆，磨圆角、光滑无毛刺。</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gridSpan w:val="2"/>
            <w:shd w:val="clear" w:color="auto" w:fill="auto"/>
            <w:tcMar>
              <w:left w:w="15" w:type="dxa"/>
              <w:top w:w="15" w:type="dxa"/>
              <w:right w:w="15" w:type="dxa"/>
            </w:tcMar>
            <w:tcW w:w="1850"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思维游戏（高级）</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数量：925件/套，8盒</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主体材质：ABS、榉木、铜版纸，材质：油漆采用环保水性漆。</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Style w:val="874"/>
                <w:rFonts w:hint="eastAsia" w:ascii="宋体" w:hAnsi="宋体" w:eastAsia="宋体" w:cs="宋体"/>
                <w:b/>
                <w:bCs/>
                <w:color w:val="auto"/>
                <w:sz w:val="21"/>
                <w:szCs w:val="21"/>
                <w:highlight w:val="none"/>
                <w:lang w:val="en-US" w:eastAsia="zh-CN"/>
              </w:rPr>
              <w:t xml:space="preserve">详见下表详细清单</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百数板</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315*305*35mm                           </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材质：杨木夹板+中密度纤维板，油漆采用环保水性漆。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点读地球仪</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球体直径260MM,底座尺寸281MM,总高度358MM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材质：塑料、金属</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计算架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规格：205*195*50mm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材质：底板和侧板:  榉木（榉木部分须使用浅色榉木），圆棒:  荷木。油漆采用环保水性漆。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w:t>
            </w:r>
            <w:r/>
          </w:p>
        </w:tc>
        <w:tc>
          <w:tcPr>
            <w:gridSpan w:val="2"/>
            <w:shd w:val="clear" w:color="auto" w:fill="auto"/>
            <w:tcMar>
              <w:left w:w="15" w:type="dxa"/>
              <w:top w:w="15" w:type="dxa"/>
              <w:right w:w="15" w:type="dxa"/>
            </w:tcMar>
            <w:tcW w:w="1850"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孔明锁(9款）</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345*345*94mm，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材质：胡桃木+红花梨，油漆采用环保水性漆。内含9个独立包装的孔明锁，9种玩法</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left"/>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五、科学室玩具</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无动力飞车轨道-小型版</w:t>
            </w:r>
            <w:r/>
          </w:p>
        </w:tc>
        <w:tc>
          <w:tcPr>
            <w:shd w:val="clear" w:color="auto" w:fill="auto"/>
            <w:tcMar>
              <w:left w:w="15" w:type="dxa"/>
              <w:top w:w="15" w:type="dxa"/>
              <w:right w:w="15" w:type="dxa"/>
            </w:tcMar>
            <w:tcW w:w="255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5000mm*600mm*1000mm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配件包含：木质轨道主体、承托框架、尾板等</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材质：桦木多层板。质地软硬适中，中间胶水为酚醛胶，木质紧密，韧性好，层次均匀。</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安装：子母螺丝对锁。</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优点：使用圆头子母对锁螺丝进行组装连接，外表光滑无锋利边缘露出，利于低龄段孩子使用；轨道连接处采用榫卯拼插结构，方便对位组装。</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教学：轨道设计参照能量守恒定律，由最高1米处放置小车，在重力和轨道斜坡的作用下将重力势能转换为动能，轨道中间设计2个坡谷去检测小车的平衡设计，当设计不平衡时会导致小车飞出轨道等失败情况，尾部预留1米平坡缓冲区及尾部挡板制动，防止小车跑离轨道。</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无动力飞车-小车标准套件</w:t>
            </w:r>
            <w:r/>
          </w:p>
        </w:tc>
        <w:tc>
          <w:tcPr>
            <w:shd w:val="clear" w:color="auto" w:fill="auto"/>
            <w:tcMar>
              <w:left w:w="15" w:type="dxa"/>
              <w:top w:w="15" w:type="dxa"/>
              <w:right w:w="15" w:type="dxa"/>
            </w:tcMar>
            <w:tcW w:w="255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雪糕棒*2  </w:t>
            </w:r>
            <w:r/>
          </w:p>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木棒*2  </w:t>
            </w:r>
            <w:r/>
          </w:p>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吸管*2  </w:t>
            </w:r>
            <w:r/>
          </w:p>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轮子*4 </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橡胶圈*8</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材质：桦木多层板。</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200</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gridSpan w:val="2"/>
            <w:shd w:val="clear" w:color="auto" w:fill="auto"/>
            <w:tcMar>
              <w:left w:w="15" w:type="dxa"/>
              <w:top w:w="15" w:type="dxa"/>
              <w:right w:w="15" w:type="dxa"/>
            </w:tcMar>
            <w:tcW w:w="1850"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吊球塔</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350*210*540H 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产品材质：桦木胶合板、榉木、磁铁。产品配件：1个吊球塔、2个抓钩、6个带磁小木球。油漆采用环保水性漆。</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超级电路积木</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405*285*110mm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塑料</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科教大师积木</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355*290*100mm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塑料</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创客积木机械动力版</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436*316*98mm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塑料</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创客积木机械动力版</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436*316*98mm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塑料</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教材电学组</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192*150*72mm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材质：塑料</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每套含31个零件。</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幼儿安全温度计</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（6片/套）</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166*40*2.5mm </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产品材质：超级感温材料  测量范围：8-38℃（40-100℉） 分度值：2℃</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产品包含： 6个不同颜色安全温度计（红、橙、黄，绿、蓝，紫），金属铁盒包装。</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气压水动系列-气压水缸</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274*172*108mm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材质：塑料</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每套含27个零件。</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气压水动系列-水磨机</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274*172*108mm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材质：塑料</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每套含81个零件。</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气压水动系列-发电机</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274*172*108mm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材质：塑料</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每套含27个零件。</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13</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气压水动系列-鼓风机</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370*80*290mm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材质：塑料</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每套含180个零件。</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第一代气压水动-喷水车</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370*80*290mm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材质：塑料</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每套含165个零件。</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水净化套件</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总高340mm，底座直径103mm，透明管直径50mm。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产品材质：ABS、PC、PP,不锈钢 </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产品包括：透明圆柱管*4个、不锈钢滤网*4个、莲花座连接件*4个、收集底座*1个， 四种可拆卸配件、过滤纸*10张 、100ml量杯*1个，材料包含：石头、沙子、棉花、活性炭</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w:t>
            </w:r>
            <w:r/>
          </w:p>
        </w:tc>
        <w:tc>
          <w:tcPr>
            <w:gridSpan w:val="2"/>
            <w:shd w:val="clear" w:color="auto" w:fill="auto"/>
            <w:tcMar>
              <w:left w:w="15" w:type="dxa"/>
              <w:top w:w="15" w:type="dxa"/>
              <w:right w:w="15" w:type="dxa"/>
            </w:tcMar>
            <w:tcW w:w="1850"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小鸡21天孵化过程</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430mm*235mm*75mm </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产品材质：PS安全塑料 吸塑收纳盒。</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产品组成：1、21只可以打开横截面的鸡蛋</w:t>
            </w:r>
            <w:r>
              <w:rPr>
                <w:rFonts w:hint="eastAsia" w:ascii="宋体" w:hAnsi="宋体" w:cs="宋体"/>
                <w:i w:val="0"/>
                <w:color w:val="auto"/>
                <w:sz w:val="21"/>
                <w:szCs w:val="21"/>
                <w:highlight w:val="none"/>
                <w:u w:val="none"/>
                <w:lang w:val="en-US" w:eastAsia="zh-CN"/>
              </w:rPr>
              <w:t xml:space="preserve">；</w:t>
            </w:r>
            <w:r>
              <w:rPr>
                <w:rFonts w:hint="eastAsia" w:ascii="宋体" w:hAnsi="宋体" w:eastAsia="宋体" w:cs="宋体"/>
                <w:i w:val="0"/>
                <w:color w:val="auto"/>
                <w:sz w:val="21"/>
                <w:szCs w:val="21"/>
                <w:highlight w:val="none"/>
                <w:u w:val="none"/>
                <w:lang w:val="en-US" w:eastAsia="zh-CN"/>
              </w:rPr>
              <w:t xml:space="preserve">2、一个有编号的储存隔</w:t>
            </w:r>
            <w:r>
              <w:rPr>
                <w:rFonts w:hint="eastAsia" w:ascii="宋体" w:hAnsi="宋体" w:cs="宋体"/>
                <w:i w:val="0"/>
                <w:color w:val="auto"/>
                <w:sz w:val="21"/>
                <w:szCs w:val="21"/>
                <w:highlight w:val="none"/>
                <w:u w:val="none"/>
                <w:lang w:val="en-US" w:eastAsia="zh-CN"/>
              </w:rPr>
              <w:t xml:space="preserve">；</w:t>
            </w:r>
            <w:r>
              <w:rPr>
                <w:rFonts w:hint="eastAsia" w:ascii="宋体" w:hAnsi="宋体" w:eastAsia="宋体" w:cs="宋体"/>
                <w:i w:val="0"/>
                <w:color w:val="auto"/>
                <w:sz w:val="21"/>
                <w:szCs w:val="21"/>
                <w:highlight w:val="none"/>
                <w:u w:val="none"/>
                <w:lang w:val="en-US" w:eastAsia="zh-CN"/>
              </w:rPr>
              <w:t xml:space="preserve"> 3、1只孵化好的小鸡模型</w:t>
            </w:r>
            <w:r>
              <w:rPr>
                <w:rFonts w:hint="eastAsia" w:ascii="宋体" w:hAnsi="宋体" w:cs="宋体"/>
                <w:i w:val="0"/>
                <w:color w:val="auto"/>
                <w:sz w:val="21"/>
                <w:szCs w:val="21"/>
                <w:highlight w:val="none"/>
                <w:u w:val="none"/>
                <w:lang w:val="en-US" w:eastAsia="zh-CN"/>
              </w:rPr>
              <w:t xml:space="preserve">。</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17</w:t>
            </w:r>
            <w:r/>
          </w:p>
        </w:tc>
        <w:tc>
          <w:tcPr>
            <w:gridSpan w:val="2"/>
            <w:shd w:val="clear" w:color="auto" w:fill="auto"/>
            <w:tcMar>
              <w:left w:w="15" w:type="dxa"/>
              <w:top w:w="15" w:type="dxa"/>
              <w:right w:w="15" w:type="dxa"/>
            </w:tcMar>
            <w:tcW w:w="1850"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手提3D齿轮组</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335*310*130mm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材质：塑料</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每套含130块插片及链条。</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18</w:t>
            </w:r>
            <w:r/>
          </w:p>
        </w:tc>
        <w:tc>
          <w:tcPr>
            <w:gridSpan w:val="2"/>
            <w:shd w:val="clear" w:color="auto" w:fill="auto"/>
            <w:tcMar>
              <w:left w:w="15" w:type="dxa"/>
              <w:top w:w="15" w:type="dxa"/>
              <w:right w:w="15" w:type="dxa"/>
            </w:tcMar>
            <w:tcW w:w="1850"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三维立体动力齿轮组合</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400*340*90mm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材质：塑料</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内含新型的266块连接插片。</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left"/>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六、建构玩具</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gridSpan w:val="2"/>
            <w:shd w:val="clear" w:color="auto" w:fill="auto"/>
            <w:tcMar>
              <w:left w:w="15" w:type="dxa"/>
              <w:top w:w="15" w:type="dxa"/>
              <w:right w:w="15" w:type="dxa"/>
            </w:tcMar>
            <w:tcW w:w="1850" w:type="dxa"/>
            <w:vAlign w:val="center"/>
            <w:textDirection w:val="lrTb"/>
            <w:noWrap w:val="false"/>
          </w:tcPr>
          <w:p>
            <w:pPr>
              <w:jc w:val="both"/>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长方形</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fldChar w:fldCharType="begin"/>
            </w:r>
            <w:r>
              <w:rPr>
                <w:rFonts w:hint="eastAsia" w:ascii="宋体" w:hAnsi="宋体" w:eastAsia="宋体" w:cs="宋体"/>
                <w:i w:val="0"/>
                <w:color w:val="auto"/>
                <w:sz w:val="21"/>
                <w:szCs w:val="21"/>
                <w:highlight w:val="none"/>
                <w:u w:val="none"/>
                <w:lang w:val="en-US" w:eastAsia="zh-CN"/>
              </w:rPr>
              <w:instrText xml:space="preserve"> HYPERLINK "" \l "碳化积木440片清单!A1" </w:instrText>
            </w:r>
            <w:r>
              <w:rPr>
                <w:rFonts w:hint="eastAsia" w:ascii="宋体" w:hAnsi="宋体" w:eastAsia="宋体" w:cs="宋体"/>
                <w:i w:val="0"/>
                <w:color w:val="auto"/>
                <w:sz w:val="21"/>
                <w:szCs w:val="21"/>
                <w:highlight w:val="none"/>
                <w:u w:val="none"/>
                <w:lang w:val="en-US" w:eastAsia="zh-CN"/>
              </w:rPr>
              <w:fldChar w:fldCharType="separate"/>
            </w:r>
            <w:r>
              <w:rPr>
                <w:rStyle w:val="699"/>
                <w:rFonts w:hint="eastAsia" w:ascii="宋体" w:hAnsi="宋体" w:eastAsia="宋体" w:cs="宋体"/>
                <w:i w:val="0"/>
                <w:color w:val="auto"/>
                <w:sz w:val="21"/>
                <w:szCs w:val="21"/>
                <w:highlight w:val="none"/>
                <w:u w:val="none"/>
              </w:rPr>
              <w:t xml:space="preserve">200*100*50mm</w:t>
            </w:r>
            <w:r>
              <w:rPr>
                <w:rFonts w:hint="eastAsia" w:ascii="宋体" w:hAnsi="宋体" w:eastAsia="宋体" w:cs="宋体"/>
                <w:i w:val="0"/>
                <w:color w:val="auto"/>
                <w:sz w:val="21"/>
                <w:szCs w:val="21"/>
                <w:highlight w:val="none"/>
                <w:u w:val="none"/>
                <w:lang w:val="en-US" w:eastAsia="zh-CN"/>
              </w:rPr>
              <w:fldChar w:fldCharType="end"/>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松木两底一面碳化清漆。工艺：颜色碳化均匀，打磨光滑无毛刺</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60</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片</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gridSpan w:val="2"/>
            <w:shd w:val="clear" w:color="auto" w:fill="auto"/>
            <w:tcMar>
              <w:left w:w="15" w:type="dxa"/>
              <w:top w:w="15" w:type="dxa"/>
              <w:right w:w="15" w:type="dxa"/>
            </w:tcMar>
            <w:tcW w:w="1850" w:type="dxa"/>
            <w:vAlign w:val="center"/>
            <w:textDirection w:val="lrTb"/>
            <w:noWrap w:val="false"/>
          </w:tcPr>
          <w:p>
            <w:pPr>
              <w:jc w:val="both"/>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长方形</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200*100*25mm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松木两底一面碳化清漆。工艺：颜色碳化均匀，打磨光滑无毛刺</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88</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片</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gridSpan w:val="2"/>
            <w:shd w:val="clear" w:color="auto" w:fill="auto"/>
            <w:tcMar>
              <w:left w:w="15" w:type="dxa"/>
              <w:top w:w="15" w:type="dxa"/>
              <w:right w:w="15" w:type="dxa"/>
            </w:tcMar>
            <w:tcW w:w="1850" w:type="dxa"/>
            <w:vAlign w:val="center"/>
            <w:textDirection w:val="lrTb"/>
            <w:noWrap w:val="false"/>
          </w:tcPr>
          <w:p>
            <w:pPr>
              <w:jc w:val="both"/>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长方形</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400*100*25mm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松木两底一面碳化清漆。工艺：颜色碳化均匀，打磨光滑无毛刺</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106</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片</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gridSpan w:val="2"/>
            <w:shd w:val="clear" w:color="auto" w:fill="auto"/>
            <w:tcMar>
              <w:left w:w="15" w:type="dxa"/>
              <w:top w:w="15" w:type="dxa"/>
              <w:right w:w="15" w:type="dxa"/>
            </w:tcMar>
            <w:tcW w:w="1850" w:type="dxa"/>
            <w:vAlign w:val="center"/>
            <w:textDirection w:val="lrTb"/>
            <w:noWrap w:val="false"/>
          </w:tcPr>
          <w:p>
            <w:pPr>
              <w:jc w:val="both"/>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长方形</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600*100*25mm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松木两底一面碳化清漆。工艺：颜色碳化均匀，打磨光滑无毛刺</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106</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片</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gridSpan w:val="2"/>
            <w:shd w:val="clear" w:color="auto" w:fill="auto"/>
            <w:tcMar>
              <w:left w:w="15" w:type="dxa"/>
              <w:top w:w="15" w:type="dxa"/>
              <w:right w:w="15" w:type="dxa"/>
            </w:tcMar>
            <w:tcW w:w="1850" w:type="dxa"/>
            <w:vAlign w:val="center"/>
            <w:textDirection w:val="lrTb"/>
            <w:noWrap w:val="false"/>
          </w:tcPr>
          <w:p>
            <w:pPr>
              <w:jc w:val="both"/>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圆柱积木</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Φ100*200mm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松木两底一面碳化清漆。工艺：颜色碳化均匀，打磨光滑无毛刺</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片</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gridSpan w:val="2"/>
            <w:shd w:val="clear" w:color="auto" w:fill="auto"/>
            <w:tcMar>
              <w:left w:w="15" w:type="dxa"/>
              <w:top w:w="15" w:type="dxa"/>
              <w:right w:w="15" w:type="dxa"/>
            </w:tcMar>
            <w:tcW w:w="1850" w:type="dxa"/>
            <w:vAlign w:val="center"/>
            <w:textDirection w:val="lrTb"/>
            <w:noWrap w:val="false"/>
          </w:tcPr>
          <w:p>
            <w:pPr>
              <w:jc w:val="both"/>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13.圆柱积木</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Φ100*400mm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松木两底一面碳化清漆。工艺：颜色碳化均匀，打磨光滑无毛刺</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20</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片</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w:t>
            </w:r>
            <w:r/>
          </w:p>
        </w:tc>
        <w:tc>
          <w:tcPr>
            <w:gridSpan w:val="2"/>
            <w:shd w:val="clear" w:color="auto" w:fill="auto"/>
            <w:tcMar>
              <w:left w:w="15" w:type="dxa"/>
              <w:top w:w="15" w:type="dxa"/>
              <w:right w:w="15" w:type="dxa"/>
            </w:tcMar>
            <w:tcW w:w="1850" w:type="dxa"/>
            <w:vAlign w:val="center"/>
            <w:textDirection w:val="lrTb"/>
            <w:noWrap w:val="false"/>
          </w:tcPr>
          <w:p>
            <w:pPr>
              <w:jc w:val="both"/>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17.半圆环积木</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300*150*25mm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松木两底一面碳化清漆。工艺：颜色碳化均匀，打磨光滑无毛刺</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20</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片</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定制收纳柜</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根据场地定制 ，尺寸约3500mm*650*1200mm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材质：PVC管，带防雨布罩，含脚（柜子离地保留合适尺寸），底板全白色</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收纳柜防雨布更换</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根据现有PVC管柜子定制防雨布</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整体约40㎡</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组</w:t>
            </w:r>
            <w:r/>
          </w:p>
        </w:tc>
      </w:tr>
      <w:tr>
        <w:trPr>
          <w:trHeight w:val="23"/>
        </w:trPr>
        <w:tc>
          <w:tcPr>
            <w:gridSpan w:val="7"/>
            <w:shd w:val="clear" w:color="auto" w:fill="auto"/>
            <w:tcMar>
              <w:left w:w="15" w:type="dxa"/>
              <w:top w:w="15" w:type="dxa"/>
              <w:right w:w="15" w:type="dxa"/>
            </w:tcMar>
            <w:tcW w:w="9442" w:type="dxa"/>
            <w:vAlign w:val="center"/>
            <w:textDirection w:val="lrTb"/>
            <w:noWrap w:val="false"/>
          </w:tcPr>
          <w:p>
            <w:pPr>
              <w:jc w:val="left"/>
              <w:spacing w:line="240" w:lineRule="auto"/>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sz w:val="21"/>
                <w:szCs w:val="21"/>
                <w:highlight w:val="none"/>
                <w:u w:val="none"/>
                <w:lang w:val="en-US" w:eastAsia="zh-CN"/>
              </w:rPr>
              <w:t xml:space="preserve">七、户外体育玩具</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精制篮球</w:t>
            </w:r>
            <w:r/>
          </w:p>
        </w:tc>
        <w:tc>
          <w:tcPr>
            <w:shd w:val="clear" w:color="auto" w:fill="auto"/>
            <w:tcMar>
              <w:left w:w="15" w:type="dxa"/>
              <w:top w:w="15" w:type="dxa"/>
              <w:right w:w="15" w:type="dxa"/>
            </w:tcMar>
            <w:tcW w:w="255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规格：200mm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橡胶。</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100</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标志杆</w:t>
            </w:r>
            <w:r/>
          </w:p>
        </w:tc>
        <w:tc>
          <w:tcPr>
            <w:shd w:val="clear" w:color="auto" w:fill="auto"/>
            <w:tcMar>
              <w:left w:w="15" w:type="dxa"/>
              <w:top w:w="15" w:type="dxa"/>
              <w:right w:w="15" w:type="dxa"/>
            </w:tcMar>
            <w:tcW w:w="255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1000*25mm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塑料</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圆底锥形桶</w:t>
            </w:r>
            <w:r/>
          </w:p>
        </w:tc>
        <w:tc>
          <w:tcPr>
            <w:shd w:val="clear" w:color="auto" w:fill="auto"/>
            <w:tcMar>
              <w:left w:w="15" w:type="dxa"/>
              <w:top w:w="15" w:type="dxa"/>
              <w:right w:w="15" w:type="dxa"/>
            </w:tcMar>
            <w:tcW w:w="255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高度是320mm，底座直径230mm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塑料</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20</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篮球架</w:t>
            </w:r>
            <w:r/>
          </w:p>
        </w:tc>
        <w:tc>
          <w:tcPr>
            <w:shd w:val="clear" w:color="auto" w:fill="auto"/>
            <w:tcMar>
              <w:left w:w="15" w:type="dxa"/>
              <w:top w:w="15" w:type="dxa"/>
              <w:right w:w="15" w:type="dxa"/>
            </w:tcMar>
            <w:tcW w:w="255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篮球架底座700*800mm，篮球架高度：940/1070/1220/1400mm，±20mm，篮球框直径325mm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钢管+尼龙</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体操垫</w:t>
            </w:r>
            <w:r/>
          </w:p>
        </w:tc>
        <w:tc>
          <w:tcPr>
            <w:shd w:val="clear" w:color="auto" w:fill="auto"/>
            <w:tcMar>
              <w:left w:w="15" w:type="dxa"/>
              <w:top w:w="15" w:type="dxa"/>
              <w:right w:w="15" w:type="dxa"/>
            </w:tcMar>
            <w:tcW w:w="255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三联迷彩垫（绿色）</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1800*600*100mm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高密度牛津布、珍珠棉</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体操垫</w:t>
            </w:r>
            <w:r/>
          </w:p>
        </w:tc>
        <w:tc>
          <w:tcPr>
            <w:shd w:val="clear" w:color="auto" w:fill="auto"/>
            <w:tcMar>
              <w:left w:w="15" w:type="dxa"/>
              <w:top w:w="15" w:type="dxa"/>
              <w:right w:w="15" w:type="dxa"/>
            </w:tcMar>
            <w:tcW w:w="255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双联迷彩垫（绿色））</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1200*600*100mm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高密度牛津布、珍珠棉</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竹梯</w:t>
            </w:r>
            <w:r/>
          </w:p>
        </w:tc>
        <w:tc>
          <w:tcPr>
            <w:shd w:val="clear" w:color="auto" w:fill="auto"/>
            <w:tcMar>
              <w:left w:w="15" w:type="dxa"/>
              <w:top w:w="15" w:type="dxa"/>
              <w:right w:w="15" w:type="dxa"/>
            </w:tcMar>
            <w:tcW w:w="255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3500*500*300mm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材质：竹制（加清漆，耐用防裂）</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副</w:t>
            </w:r>
            <w:r/>
          </w:p>
        </w:tc>
      </w:tr>
      <w:tr>
        <w:trPr>
          <w:trHeight w:val="23"/>
        </w:trPr>
        <w:tc>
          <w:tcPr>
            <w:shd w:val="clear" w:color="auto" w:fill="auto"/>
            <w:tcMar>
              <w:left w:w="15" w:type="dxa"/>
              <w:top w:w="15" w:type="dxa"/>
              <w:right w:w="15" w:type="dxa"/>
            </w:tcMar>
            <w:tcW w:w="91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gridSpan w:val="2"/>
            <w:shd w:val="clear" w:color="auto" w:fill="auto"/>
            <w:tcMar>
              <w:left w:w="15" w:type="dxa"/>
              <w:top w:w="15" w:type="dxa"/>
              <w:right w:w="15" w:type="dxa"/>
            </w:tcMar>
            <w:tcW w:w="185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探索木梯组合</w:t>
            </w:r>
            <w:r/>
          </w:p>
        </w:tc>
        <w:tc>
          <w:tcPr>
            <w:shd w:val="clear" w:color="auto" w:fill="auto"/>
            <w:tcMar>
              <w:left w:w="15" w:type="dxa"/>
              <w:top w:w="15" w:type="dxa"/>
              <w:right w:w="15" w:type="dxa"/>
            </w:tcMar>
            <w:tcW w:w="255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井形梯680*470*990mm*3个，680*470*790mm*3个。平衡直板1945*165*25mm*6个，直梯1950*365*25mm*4个，共16件</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颜色：原木色</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材质：户外海洋板</w:t>
            </w:r>
            <w:r/>
          </w:p>
          <w:p>
            <w:pPr>
              <w:jc w:val="left"/>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工艺：采用榫卯结构，坚固耐用、纹路自然，边缘和表面以及儿童可触及的隐蔽部位进行圆角处理，符合环保要求。</w:t>
            </w:r>
            <w:r/>
          </w:p>
        </w:tc>
        <w:tc>
          <w:tcPr>
            <w:shd w:val="clear" w:color="auto" w:fill="auto"/>
            <w:tcMar>
              <w:left w:w="15" w:type="dxa"/>
              <w:top w:w="15" w:type="dxa"/>
              <w:right w:w="15" w:type="dxa"/>
            </w:tcMar>
            <w:tcW w:w="67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485"/>
        </w:trPr>
        <w:tc>
          <w:tcPr>
            <w:gridSpan w:val="7"/>
            <w:shd w:val="clear" w:color="auto" w:fill="auto"/>
            <w:tcMar>
              <w:left w:w="15" w:type="dxa"/>
              <w:top w:w="15" w:type="dxa"/>
              <w:right w:w="15" w:type="dxa"/>
            </w:tcMar>
            <w:tcW w:w="9442" w:type="dxa"/>
            <w:vAlign w:val="center"/>
            <w:textDirection w:val="lrTb"/>
            <w:noWrap w:val="false"/>
          </w:tcPr>
          <w:p>
            <w:pPr>
              <w:jc w:val="left"/>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rPr>
              <w:t xml:space="preserve">八、户外大型玩具区域</w:t>
            </w:r>
            <w:r/>
          </w:p>
        </w:tc>
      </w:tr>
      <w:tr>
        <w:trPr>
          <w:trHeight w:val="9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1</w:t>
            </w:r>
            <w:r/>
          </w:p>
        </w:tc>
        <w:tc>
          <w:tcPr>
            <w:shd w:val="clear" w:color="auto" w:fill="auto"/>
            <w:tcMar>
              <w:left w:w="15" w:type="dxa"/>
              <w:top w:w="15" w:type="dxa"/>
              <w:right w:w="15" w:type="dxa"/>
            </w:tcMar>
            <w:tcW w:w="114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综合游戏区域1</w:t>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大型综合体锻游戏</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12550*8652*6200mm</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8900*6700*5000mm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材质：镀锌钢管、防腐木、木塑地板、户外净味防腐耐候木油、</w:t>
            </w:r>
            <w:r>
              <w:rPr>
                <w:rFonts w:hint="eastAsia" w:ascii="宋体" w:hAnsi="宋体" w:eastAsia="宋体" w:cs="宋体"/>
                <w:color w:val="auto"/>
                <w:sz w:val="21"/>
                <w:szCs w:val="21"/>
                <w:highlight w:val="none"/>
                <w:lang w:val="en-US" w:eastAsia="zh-CN" w:bidi="ar-SA"/>
              </w:rPr>
              <w:t xml:space="preserve">不锈钢螺丝安全套件</w:t>
            </w:r>
            <w:r>
              <w:rPr>
                <w:rFonts w:hint="eastAsia" w:ascii="宋体" w:hAnsi="宋体" w:eastAsia="宋体" w:cs="宋体"/>
                <w:i w:val="0"/>
                <w:color w:val="auto"/>
                <w:sz w:val="21"/>
                <w:szCs w:val="21"/>
                <w:highlight w:val="none"/>
                <w:u w:val="none"/>
                <w:lang w:val="en-US" w:eastAsia="zh-CN"/>
              </w:rPr>
              <w:t xml:space="preserve">。</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1.护栏高度，不低于800mm（视具体位置定）</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2.平台宽度不低于2000mm；爬网宽1000mm，圆形平台平台半径径分别为2250mm,1000mm，</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3.配件扣件为铝合金；</w:t>
            </w:r>
            <w:r>
              <w:rPr>
                <w:rFonts w:hint="eastAsia" w:ascii="宋体" w:hAnsi="宋体" w:eastAsia="宋体" w:cs="宋体"/>
                <w:color w:val="auto"/>
                <w:sz w:val="21"/>
                <w:szCs w:val="21"/>
                <w:highlight w:val="none"/>
                <w:lang w:val="en-US" w:eastAsia="zh-CN" w:bidi="ar-SA"/>
              </w:rPr>
              <w:t xml:space="preserve">不锈钢螺丝安全套件</w:t>
            </w:r>
            <w:r>
              <w:rPr>
                <w:rFonts w:hint="eastAsia" w:ascii="宋体" w:hAnsi="宋体" w:eastAsia="宋体" w:cs="宋体"/>
                <w:i w:val="0"/>
                <w:color w:val="auto"/>
                <w:sz w:val="21"/>
                <w:szCs w:val="21"/>
                <w:highlight w:val="none"/>
                <w:u w:val="none"/>
                <w:lang w:val="en-US" w:eastAsia="zh-CN"/>
              </w:rPr>
              <w:t xml:space="preserve">为304#不锈钢半圆头或T型平头内六角螺丝；钢丝绳采用高强度缆绳，直径不小于12mm，中芯不少于6股钢丝绳（每股不少于6根钢丝），每股钢丝绳外需套胶管后编织而成；</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4.包含荡桥、滑梯、钻笼、攀爬墙、有顶平台两处，立面中式漏窗、滑梯、爬绳、滑索等部分。</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160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2</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多边形树围休闲凳</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地面木塑平台直径9000mm*高度100MM，</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防腐木休闲凳6400*3200*1200mm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材质：木塑地板、防腐木、户外净味防腐耐候木油、</w:t>
            </w:r>
            <w:r>
              <w:rPr>
                <w:rFonts w:hint="eastAsia" w:ascii="宋体" w:hAnsi="宋体" w:eastAsia="宋体" w:cs="宋体"/>
                <w:color w:val="auto"/>
                <w:sz w:val="21"/>
                <w:szCs w:val="21"/>
                <w:highlight w:val="none"/>
                <w:lang w:val="en-US" w:eastAsia="zh-CN" w:bidi="ar-SA"/>
              </w:rPr>
              <w:t xml:space="preserve">不锈钢螺丝安全套件</w:t>
            </w:r>
            <w:r>
              <w:rPr>
                <w:rFonts w:hint="eastAsia" w:ascii="宋体" w:hAnsi="宋体" w:eastAsia="宋体" w:cs="宋体"/>
                <w:i w:val="0"/>
                <w:color w:val="auto"/>
                <w:sz w:val="21"/>
                <w:szCs w:val="21"/>
                <w:highlight w:val="none"/>
                <w:u w:val="none"/>
                <w:lang w:val="en-US" w:eastAsia="zh-CN"/>
              </w:rPr>
              <w:t xml:space="preserve">。</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134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3</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收纳柜1</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长度11500*高度1160*宽度600mm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材料：防腐木、户外净味防腐耐候木油、</w:t>
            </w:r>
            <w:r>
              <w:rPr>
                <w:rFonts w:hint="eastAsia" w:ascii="宋体" w:hAnsi="宋体" w:eastAsia="宋体" w:cs="宋体"/>
                <w:color w:val="auto"/>
                <w:sz w:val="21"/>
                <w:szCs w:val="21"/>
                <w:highlight w:val="none"/>
                <w:lang w:val="en-US" w:eastAsia="zh-CN" w:bidi="ar-SA"/>
              </w:rPr>
              <w:t xml:space="preserve">不锈钢螺丝安全套件、</w:t>
            </w:r>
            <w:r>
              <w:rPr>
                <w:rFonts w:hint="eastAsia" w:ascii="宋体" w:hAnsi="宋体" w:eastAsia="宋体" w:cs="宋体"/>
                <w:i w:val="0"/>
                <w:color w:val="auto"/>
                <w:sz w:val="21"/>
                <w:szCs w:val="21"/>
                <w:highlight w:val="none"/>
                <w:u w:val="none"/>
                <w:lang w:val="en-US" w:eastAsia="zh-CN"/>
              </w:rPr>
              <w:t xml:space="preserve">防雨布</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分层收纳，活动层板</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144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4</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收纳柜2</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总尺寸12400*1800*800mm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材料：防腐木、户外净味防腐耐候木油、</w:t>
            </w:r>
            <w:r>
              <w:rPr>
                <w:rFonts w:hint="eastAsia" w:ascii="宋体" w:hAnsi="宋体" w:eastAsia="宋体" w:cs="宋体"/>
                <w:color w:val="auto"/>
                <w:sz w:val="21"/>
                <w:szCs w:val="21"/>
                <w:highlight w:val="none"/>
                <w:lang w:val="en-US" w:eastAsia="zh-CN" w:bidi="ar-SA"/>
              </w:rPr>
              <w:t xml:space="preserve">不锈钢螺丝安全套件</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1.高柜，高1600mm，宽度800mm，高内置活动层板</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2.地柜宽度4400*600*600mm</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140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5</w:t>
            </w:r>
            <w:r/>
          </w:p>
        </w:tc>
        <w:tc>
          <w:tcPr>
            <w:shd w:val="clear" w:color="auto" w:fill="auto"/>
            <w:tcMar>
              <w:left w:w="15" w:type="dxa"/>
              <w:top w:w="15" w:type="dxa"/>
              <w:right w:w="15" w:type="dxa"/>
            </w:tcMar>
            <w:tcW w:w="114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综合游戏区域2</w:t>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角色扮演屋</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2000*2500*2350mm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1.防腐木、户外净味防腐耐候木油、</w:t>
            </w:r>
            <w:r>
              <w:rPr>
                <w:rFonts w:hint="eastAsia" w:ascii="宋体" w:hAnsi="宋体" w:eastAsia="宋体" w:cs="宋体"/>
                <w:color w:val="auto"/>
                <w:sz w:val="21"/>
                <w:szCs w:val="21"/>
                <w:highlight w:val="none"/>
                <w:lang w:val="en-US" w:eastAsia="zh-CN" w:bidi="ar-SA"/>
              </w:rPr>
              <w:t xml:space="preserve">不锈钢螺丝安全套件、</w:t>
            </w:r>
            <w:r>
              <w:rPr>
                <w:rFonts w:hint="eastAsia" w:ascii="宋体" w:hAnsi="宋体" w:eastAsia="宋体" w:cs="宋体"/>
                <w:i w:val="0"/>
                <w:color w:val="auto"/>
                <w:sz w:val="21"/>
                <w:szCs w:val="21"/>
                <w:highlight w:val="none"/>
                <w:u w:val="none"/>
                <w:lang w:val="en-US" w:eastAsia="zh-CN"/>
              </w:rPr>
              <w:t xml:space="preserve">黑板</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2.中式开窗样式，刷黑色户外净味防腐耐候木油、黑板</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2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6</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游戏木栈道</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栈道：1200*16000*700mm，</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总高3100*1200mm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材质：木塑地板、防腐木、户外净味防腐耐候木油、</w:t>
            </w:r>
            <w:r>
              <w:rPr>
                <w:rFonts w:hint="eastAsia" w:ascii="宋体" w:hAnsi="宋体" w:eastAsia="宋体" w:cs="宋体"/>
                <w:color w:val="auto"/>
                <w:sz w:val="21"/>
                <w:szCs w:val="21"/>
                <w:highlight w:val="none"/>
                <w:lang w:val="en-US" w:eastAsia="zh-CN" w:bidi="ar-SA"/>
              </w:rPr>
              <w:t xml:space="preserve">不锈钢螺丝安全套件、</w:t>
            </w:r>
            <w:r>
              <w:rPr>
                <w:rFonts w:hint="eastAsia" w:ascii="宋体" w:hAnsi="宋体" w:eastAsia="宋体" w:cs="宋体"/>
                <w:i w:val="0"/>
                <w:color w:val="auto"/>
                <w:sz w:val="21"/>
                <w:szCs w:val="21"/>
                <w:highlight w:val="none"/>
                <w:u w:val="none"/>
                <w:lang w:val="en-US" w:eastAsia="zh-CN"/>
              </w:rPr>
              <w:t xml:space="preserve">石板、耐力板</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木栏杆高1000mm，间隔100mm，栏杆40mm宽杆件；</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主立柱100*100mm</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100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7</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古法水缸</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直径分约为1100mm，800mm，高度约900mm，800mm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陶艺古法水缸，底部预留排水口</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124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8</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小舞台</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6000*4700*2300mm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材质：木塑地板、防腐木、户外净味防腐耐候木油、</w:t>
            </w:r>
            <w:r>
              <w:rPr>
                <w:rFonts w:hint="eastAsia" w:ascii="宋体" w:hAnsi="宋体" w:eastAsia="宋体" w:cs="宋体"/>
                <w:color w:val="auto"/>
                <w:sz w:val="21"/>
                <w:szCs w:val="21"/>
                <w:highlight w:val="none"/>
                <w:lang w:val="en-US" w:eastAsia="zh-CN" w:bidi="ar-SA"/>
              </w:rPr>
              <w:t xml:space="preserve">不锈钢螺丝安全套件</w:t>
            </w:r>
            <w:r>
              <w:rPr>
                <w:rFonts w:hint="eastAsia" w:ascii="宋体" w:hAnsi="宋体" w:eastAsia="宋体" w:cs="宋体"/>
                <w:i w:val="0"/>
                <w:color w:val="auto"/>
                <w:sz w:val="21"/>
                <w:szCs w:val="21"/>
                <w:highlight w:val="none"/>
                <w:u w:val="none"/>
                <w:lang w:val="en-US" w:eastAsia="zh-CN"/>
              </w:rPr>
              <w:t xml:space="preserve">。</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174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9</w:t>
            </w:r>
            <w:r/>
          </w:p>
        </w:tc>
        <w:tc>
          <w:tcPr>
            <w:shd w:val="clear" w:color="auto" w:fill="auto"/>
            <w:tcMar>
              <w:left w:w="15" w:type="dxa"/>
              <w:top w:w="15" w:type="dxa"/>
              <w:right w:w="15" w:type="dxa"/>
            </w:tcMar>
            <w:tcW w:w="114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综合游戏区域3</w:t>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体锻游戏组合</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20515*2400*2450mm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材质：防腐木、户外净味防腐耐候木油、</w:t>
            </w:r>
            <w:r>
              <w:rPr>
                <w:rFonts w:hint="eastAsia" w:ascii="宋体" w:hAnsi="宋体" w:eastAsia="宋体" w:cs="宋体"/>
                <w:color w:val="auto"/>
                <w:sz w:val="21"/>
                <w:szCs w:val="21"/>
                <w:highlight w:val="none"/>
                <w:lang w:val="en-US" w:eastAsia="zh-CN" w:bidi="ar-SA"/>
              </w:rPr>
              <w:t xml:space="preserve">不锈钢螺丝安全套件</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含平台、钻笼、爬网、轮胎器材、荡桥、平衡等功能。</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128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10</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交通线</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140米长，宽60mm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实线、虚线交通线</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130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11</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停车棚</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1200*3000*1200mm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材质：防腐木、户外净味防腐耐候木油、</w:t>
            </w:r>
            <w:r>
              <w:rPr>
                <w:rFonts w:hint="eastAsia" w:ascii="宋体" w:hAnsi="宋体" w:eastAsia="宋体" w:cs="宋体"/>
                <w:color w:val="auto"/>
                <w:sz w:val="21"/>
                <w:szCs w:val="21"/>
                <w:highlight w:val="none"/>
                <w:lang w:val="en-US" w:eastAsia="zh-CN" w:bidi="ar-SA"/>
              </w:rPr>
              <w:t xml:space="preserve">不锈钢螺丝安全套件、</w:t>
            </w:r>
            <w:r>
              <w:rPr>
                <w:rFonts w:hint="eastAsia" w:ascii="宋体" w:hAnsi="宋体" w:eastAsia="宋体" w:cs="宋体"/>
                <w:i w:val="0"/>
                <w:color w:val="auto"/>
                <w:sz w:val="21"/>
                <w:szCs w:val="21"/>
                <w:highlight w:val="none"/>
                <w:u w:val="none"/>
                <w:lang w:val="en-US" w:eastAsia="zh-CN"/>
              </w:rPr>
              <w:t xml:space="preserve">方砖地面</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182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12</w:t>
            </w:r>
            <w:r/>
          </w:p>
        </w:tc>
        <w:tc>
          <w:tcPr>
            <w:shd w:val="clear" w:color="auto" w:fill="auto"/>
            <w:tcMar>
              <w:left w:w="15" w:type="dxa"/>
              <w:top w:w="15" w:type="dxa"/>
              <w:right w:w="15" w:type="dxa"/>
            </w:tcMar>
            <w:tcW w:w="114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综合游戏区域4</w:t>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沧浪亭</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2400*3600*3000mm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材质：防腐木、户外净味防腐耐候木油、木塑地板、</w:t>
            </w:r>
            <w:r>
              <w:rPr>
                <w:rFonts w:hint="eastAsia" w:ascii="宋体" w:hAnsi="宋体" w:eastAsia="宋体" w:cs="宋体"/>
                <w:color w:val="auto"/>
                <w:sz w:val="21"/>
                <w:szCs w:val="21"/>
                <w:highlight w:val="none"/>
                <w:lang w:val="en-US" w:eastAsia="zh-CN" w:bidi="ar-SA"/>
              </w:rPr>
              <w:t xml:space="preserve">不锈钢螺丝安全套件</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1.方砖基座，2400*2400</w:t>
            </w:r>
            <w:r>
              <w:rPr>
                <w:rFonts w:hint="eastAsia" w:ascii="宋体" w:hAnsi="宋体" w:cs="宋体"/>
                <w:i w:val="0"/>
                <w:color w:val="auto"/>
                <w:sz w:val="21"/>
                <w:szCs w:val="21"/>
                <w:highlight w:val="none"/>
                <w:u w:val="none"/>
                <w:lang w:val="en-US" w:eastAsia="zh-CN"/>
              </w:rPr>
              <w:t xml:space="preserve">mm</w:t>
            </w:r>
            <w:r>
              <w:rPr>
                <w:rFonts w:hint="eastAsia" w:ascii="宋体" w:hAnsi="宋体" w:eastAsia="宋体" w:cs="宋体"/>
                <w:i w:val="0"/>
                <w:color w:val="auto"/>
                <w:sz w:val="21"/>
                <w:szCs w:val="21"/>
                <w:highlight w:val="none"/>
                <w:u w:val="none"/>
                <w:lang w:val="en-US" w:eastAsia="zh-CN"/>
              </w:rPr>
              <w:t xml:space="preserve">，踏步</w:t>
            </w:r>
            <w:r/>
          </w:p>
          <w:p>
            <w:pPr>
              <w:jc w:val="left"/>
              <w:keepLines w:val="0"/>
              <w:keepNext w:val="0"/>
              <w:spacing w:line="240" w:lineRule="auto"/>
              <w:widowControl/>
              <w:rPr>
                <w:rFonts w:hint="default"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2.160</w:t>
            </w:r>
            <w:r>
              <w:rPr>
                <w:rFonts w:hint="eastAsia" w:ascii="宋体" w:hAnsi="宋体" w:cs="宋体"/>
                <w:i w:val="0"/>
                <w:color w:val="auto"/>
                <w:sz w:val="21"/>
                <w:szCs w:val="21"/>
                <w:highlight w:val="none"/>
                <w:u w:val="none"/>
                <w:lang w:val="en-US" w:eastAsia="zh-CN"/>
              </w:rPr>
              <w:t xml:space="preserve">mm</w:t>
            </w:r>
            <w:r>
              <w:rPr>
                <w:rFonts w:hint="eastAsia" w:ascii="宋体" w:hAnsi="宋体" w:eastAsia="宋体" w:cs="宋体"/>
                <w:i w:val="0"/>
                <w:color w:val="auto"/>
                <w:sz w:val="21"/>
                <w:szCs w:val="21"/>
                <w:highlight w:val="none"/>
                <w:u w:val="none"/>
                <w:lang w:val="en-US" w:eastAsia="zh-CN"/>
              </w:rPr>
              <w:t xml:space="preserve">规格防腐木立柱，主梁为100</w:t>
            </w:r>
            <w:r>
              <w:rPr>
                <w:rFonts w:hint="eastAsia" w:ascii="宋体" w:hAnsi="宋体" w:cs="宋体"/>
                <w:i w:val="0"/>
                <w:color w:val="auto"/>
                <w:sz w:val="21"/>
                <w:szCs w:val="21"/>
                <w:highlight w:val="none"/>
                <w:u w:val="none"/>
                <w:lang w:val="en-US" w:eastAsia="zh-CN"/>
              </w:rPr>
              <w:t xml:space="preserve">mm</w:t>
            </w:r>
            <w:r>
              <w:rPr>
                <w:rFonts w:hint="eastAsia" w:ascii="宋体" w:hAnsi="宋体" w:eastAsia="宋体" w:cs="宋体"/>
                <w:i w:val="0"/>
                <w:color w:val="auto"/>
                <w:sz w:val="21"/>
                <w:szCs w:val="21"/>
                <w:highlight w:val="none"/>
                <w:u w:val="none"/>
                <w:lang w:val="en-US" w:eastAsia="zh-CN"/>
              </w:rPr>
              <w:t xml:space="preserve">，扶手为40</w:t>
            </w:r>
            <w:r>
              <w:rPr>
                <w:rFonts w:hint="eastAsia" w:ascii="宋体" w:hAnsi="宋体" w:cs="宋体"/>
                <w:i w:val="0"/>
                <w:color w:val="auto"/>
                <w:sz w:val="21"/>
                <w:szCs w:val="21"/>
                <w:highlight w:val="none"/>
                <w:u w:val="none"/>
                <w:lang w:val="en-US" w:eastAsia="zh-CN"/>
              </w:rPr>
              <w:t xml:space="preserve">mm</w:t>
            </w:r>
            <w:r>
              <w:rPr>
                <w:rFonts w:hint="eastAsia" w:ascii="宋体" w:hAnsi="宋体" w:eastAsia="宋体" w:cs="宋体"/>
                <w:i w:val="0"/>
                <w:color w:val="auto"/>
                <w:sz w:val="21"/>
                <w:szCs w:val="21"/>
                <w:highlight w:val="none"/>
                <w:u w:val="none"/>
                <w:lang w:val="en-US" w:eastAsia="zh-CN"/>
              </w:rPr>
              <w:t xml:space="preserve">，石桌直径为600（高600）</w:t>
            </w:r>
            <w:r>
              <w:rPr>
                <w:rFonts w:hint="eastAsia" w:ascii="宋体" w:hAnsi="宋体" w:cs="宋体"/>
                <w:i w:val="0"/>
                <w:color w:val="auto"/>
                <w:sz w:val="21"/>
                <w:szCs w:val="21"/>
                <w:highlight w:val="none"/>
                <w:u w:val="none"/>
                <w:lang w:val="en-US" w:eastAsia="zh-CN"/>
              </w:rPr>
              <w:t xml:space="preserve">mm</w:t>
            </w:r>
            <w:r>
              <w:rPr>
                <w:rFonts w:hint="eastAsia" w:ascii="宋体" w:hAnsi="宋体" w:eastAsia="宋体" w:cs="宋体"/>
                <w:i w:val="0"/>
                <w:color w:val="auto"/>
                <w:sz w:val="21"/>
                <w:szCs w:val="21"/>
                <w:highlight w:val="none"/>
                <w:u w:val="none"/>
                <w:lang w:val="en-US" w:eastAsia="zh-CN"/>
              </w:rPr>
              <w:t xml:space="preserve">，座凳为240（高300）</w:t>
            </w:r>
            <w:r>
              <w:rPr>
                <w:rFonts w:hint="eastAsia" w:ascii="宋体" w:hAnsi="宋体" w:cs="宋体"/>
                <w:i w:val="0"/>
                <w:color w:val="auto"/>
                <w:sz w:val="21"/>
                <w:szCs w:val="21"/>
                <w:highlight w:val="none"/>
                <w:u w:val="none"/>
                <w:lang w:val="en-US" w:eastAsia="zh-CN"/>
              </w:rPr>
              <w:t xml:space="preserve">mm</w:t>
            </w:r>
            <w:r/>
          </w:p>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3.仿太湖石</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118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13</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水池</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8900*1970*270mm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材质：塑木地板、鹅卵石、防腐木立柱、户外净味防腐耐候木油、</w:t>
            </w:r>
            <w:r>
              <w:rPr>
                <w:rFonts w:hint="eastAsia" w:ascii="宋体" w:hAnsi="宋体" w:eastAsia="宋体" w:cs="宋体"/>
                <w:color w:val="auto"/>
                <w:sz w:val="21"/>
                <w:szCs w:val="21"/>
                <w:highlight w:val="none"/>
                <w:lang w:val="en-US" w:eastAsia="zh-CN" w:bidi="ar-SA"/>
              </w:rPr>
              <w:t xml:space="preserve">不锈钢螺丝安全套件</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112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14</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沙池安全提升</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11500*8000*300mm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材质：防腐木、户外净味防腐耐候木油</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112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15</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地面铺装</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2000*20000mm</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火烧板铺装，面积约40平方米</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套</w:t>
            </w:r>
            <w:r/>
          </w:p>
        </w:tc>
      </w:tr>
      <w:tr>
        <w:trPr>
          <w:trHeight w:val="900"/>
        </w:trPr>
        <w:tc>
          <w:tcPr>
            <w:shd w:val="clear" w:color="auto" w:fill="auto"/>
            <w:tcMar>
              <w:left w:w="15" w:type="dxa"/>
              <w:top w:w="15" w:type="dxa"/>
              <w:right w:w="15" w:type="dxa"/>
            </w:tcMar>
            <w:tcW w:w="91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rPr>
              <w:t xml:space="preserve">16</w:t>
            </w:r>
            <w:r/>
          </w:p>
        </w:tc>
        <w:tc>
          <w:tcPr>
            <w:shd w:val="clear" w:color="auto" w:fill="auto"/>
            <w:tcMar>
              <w:left w:w="15" w:type="dxa"/>
              <w:top w:w="15" w:type="dxa"/>
              <w:right w:w="15" w:type="dxa"/>
            </w:tcMar>
            <w:tcW w:w="1148"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r>
            <w:r/>
          </w:p>
        </w:tc>
        <w:tc>
          <w:tcPr>
            <w:shd w:val="clear" w:color="auto" w:fill="auto"/>
            <w:tcMar>
              <w:left w:w="15" w:type="dxa"/>
              <w:top w:w="15" w:type="dxa"/>
              <w:right w:w="15" w:type="dxa"/>
            </w:tcMar>
            <w:tcW w:w="70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耐踏草皮</w:t>
            </w:r>
            <w:r/>
          </w:p>
        </w:tc>
        <w:tc>
          <w:tcPr>
            <w:shd w:val="clear" w:color="auto" w:fill="auto"/>
            <w:tcMar>
              <w:left w:w="15" w:type="dxa"/>
              <w:top w:w="15" w:type="dxa"/>
              <w:right w:w="15" w:type="dxa"/>
            </w:tcMar>
            <w:tcW w:w="255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120㎡</w:t>
            </w:r>
            <w:r/>
          </w:p>
        </w:tc>
        <w:tc>
          <w:tcPr>
            <w:shd w:val="clear" w:color="auto" w:fill="auto"/>
            <w:tcMar>
              <w:left w:w="15" w:type="dxa"/>
              <w:top w:w="15" w:type="dxa"/>
              <w:right w:w="15" w:type="dxa"/>
            </w:tcMar>
            <w:tcW w:w="2776"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可踏真草草皮</w:t>
            </w:r>
            <w:r/>
          </w:p>
        </w:tc>
        <w:tc>
          <w:tcPr>
            <w:shd w:val="clear" w:color="auto" w:fill="auto"/>
            <w:tcMar>
              <w:left w:w="15" w:type="dxa"/>
              <w:top w:w="15" w:type="dxa"/>
              <w:right w:w="15" w:type="dxa"/>
            </w:tcMar>
            <w:tcW w:w="673"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Mar>
              <w:left w:w="15" w:type="dxa"/>
              <w:top w:w="15" w:type="dxa"/>
              <w:right w:w="15" w:type="dxa"/>
            </w:tcMar>
            <w:tcW w:w="672"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套</w:t>
            </w:r>
            <w:r/>
          </w:p>
        </w:tc>
      </w:tr>
    </w:tbl>
    <w:p>
      <w:pPr>
        <w:pStyle w:val="670"/>
        <w:ind w:left="0" w:firstLine="0"/>
        <w:rPr>
          <w:rFonts w:hint="default"/>
          <w:b/>
          <w:bCs/>
          <w:color w:val="auto"/>
          <w:highlight w:val="none"/>
          <w:lang w:val="en-US" w:eastAsia="zh-CN"/>
        </w:rPr>
      </w:pPr>
      <w:r>
        <w:rPr>
          <w:rFonts w:hint="default"/>
          <w:b/>
          <w:bCs/>
          <w:color w:val="auto"/>
          <w:highlight w:val="none"/>
          <w:lang w:val="en-US" w:eastAsia="zh-CN"/>
        </w:rPr>
        <w:t xml:space="preserve">思维游戏（中级）</w:t>
      </w:r>
      <w:r>
        <w:rPr>
          <w:rFonts w:hint="eastAsia"/>
          <w:b/>
          <w:bCs/>
          <w:color w:val="auto"/>
          <w:highlight w:val="none"/>
          <w:lang w:val="en-US" w:eastAsia="zh-CN"/>
        </w:rPr>
        <w:t xml:space="preserve">详细清单</w:t>
      </w:r>
      <w:r/>
    </w:p>
    <w:tbl>
      <w:tblPr>
        <w:tblStyle w:val="669"/>
        <w:tblW w:w="9450"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066"/>
        <w:gridCol w:w="1999"/>
        <w:gridCol w:w="1245"/>
        <w:gridCol w:w="3315"/>
        <w:gridCol w:w="1035"/>
        <w:gridCol w:w="790"/>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单位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底板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after="200" w:afterAutospacing="0"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37.5*37.5*20mm*36个；</w:t>
            </w:r>
            <w:r/>
          </w:p>
          <w:p>
            <w:pPr>
              <w:jc w:val="center"/>
              <w:keepLines w:val="0"/>
              <w:keepNext w:val="0"/>
              <w:spacing w:after="200" w:afterAutospacing="0"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75*37.5*20mm*24个；</w:t>
            </w:r>
            <w:r/>
          </w:p>
          <w:p>
            <w:pPr>
              <w:jc w:val="center"/>
              <w:keepLines w:val="0"/>
              <w:keepNext w:val="0"/>
              <w:spacing w:after="200" w:afterAutospacing="0"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112.5*37.5*20mm*12个；</w:t>
            </w:r>
            <w:r/>
          </w:p>
          <w:p>
            <w:pPr>
              <w:jc w:val="center"/>
              <w:keepLines w:val="0"/>
              <w:keepNext w:val="0"/>
              <w:spacing w:after="200" w:afterAutospacing="0"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75*75*20mm*24个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木棍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木质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190*5*5mm*20根</w:t>
            </w:r>
            <w:r/>
          </w:p>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140*5*5mm*24根；</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90*5*5mm*20根。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彩色方框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35*35*5mm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滑块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36.5*36.5*10mm</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数字1~数字9各9个，共计81个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灰色方块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25*25*25mm</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数字1、2各24个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橙色方块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25*25*25mm</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数字1、2各24个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尖尖小树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30*30*34mm</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橙色、绿色各32个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尖尖大树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30*30*65mm</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橙色、绿色各24个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小咕咕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28*28*34mm</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灰色、橙色各8个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大咕咕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28*28*48.5mm</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灰色、橙色各8个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彩色骰子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木质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25*25*25mm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数字骰子（数字1~3）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木质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25*25*25mm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数字骰子（数字1~6）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木质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25*25*25mm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圆片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26*26*4mm</w:t>
            </w:r>
            <w:r/>
          </w:p>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橙色、灰色各10个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大草堆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60*27*11mm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红萝卜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24*24*32mm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盖子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340*270*15mm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分格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242*153*80mm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盒子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340*270*100mm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rPr>
              <w:t xml:space="preserve">2</w:t>
            </w:r>
            <w:r>
              <w:rPr>
                <w:rFonts w:hint="eastAsia" w:ascii="宋体" w:hAnsi="宋体" w:eastAsia="宋体" w:cs="宋体"/>
                <w:i w:val="0"/>
                <w:color w:val="auto"/>
                <w:sz w:val="21"/>
                <w:szCs w:val="21"/>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游戏规则卡（中级）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纸质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220*220mm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rPr>
              <w:t xml:space="preserve">2</w:t>
            </w: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建构卡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纸质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220*220mm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rPr>
              <w:t xml:space="preserve">2</w:t>
            </w: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捉迷藏游戏卡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纸质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880*220mm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dxa"/>
            <w:vAlign w:val="center"/>
            <w:textDirection w:val="lrTb"/>
            <w:noWrap w:val="false"/>
          </w:tcPr>
          <w:p>
            <w:pPr>
              <w:jc w:val="center"/>
              <w:keepLines w:val="0"/>
              <w:keepNext w:val="0"/>
              <w:spacing w:line="240" w:lineRule="auto"/>
              <w:widowControl/>
              <w:rPr>
                <w:rFonts w:hint="default" w:ascii="宋体" w:hAnsi="宋体" w:eastAsia="宋体" w:cs="宋体"/>
                <w:i w:val="0"/>
                <w:color w:val="auto"/>
                <w:sz w:val="21"/>
                <w:szCs w:val="21"/>
                <w:highlight w:val="none"/>
                <w:u w:val="none"/>
                <w:lang w:val="en-US"/>
              </w:rPr>
              <w:suppressLineNumbers w:val="0"/>
            </w:pPr>
            <w:r>
              <w:rPr>
                <w:rFonts w:hint="eastAsia" w:ascii="宋体" w:hAnsi="宋体" w:cs="宋体"/>
                <w:i w:val="0"/>
                <w:color w:val="auto"/>
                <w:sz w:val="21"/>
                <w:szCs w:val="21"/>
                <w:highlight w:val="none"/>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教师指导手册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纸质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285*210mm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册</w:t>
            </w:r>
            <w:r/>
          </w:p>
        </w:tc>
      </w:tr>
    </w:tbl>
    <w:p>
      <w:pPr>
        <w:pStyle w:val="670"/>
        <w:ind w:left="0" w:firstLine="0"/>
        <w:rPr>
          <w:rFonts w:hint="eastAsia"/>
          <w:b/>
          <w:bCs/>
          <w:color w:val="auto"/>
          <w:highlight w:val="none"/>
          <w:lang w:val="en-US" w:eastAsia="zh-CN"/>
        </w:rPr>
      </w:pPr>
      <w:r>
        <w:rPr>
          <w:rFonts w:hint="eastAsia"/>
          <w:b/>
          <w:bCs/>
          <w:color w:val="auto"/>
          <w:highlight w:val="none"/>
          <w:lang w:val="en-US" w:eastAsia="zh-CN"/>
        </w:rPr>
        <w:t xml:space="preserve">思维游戏（高级）详细清单</w:t>
      </w:r>
      <w:r/>
    </w:p>
    <w:tbl>
      <w:tblPr>
        <w:tblStyle w:val="669"/>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055"/>
        <w:gridCol w:w="2025"/>
        <w:gridCol w:w="1260"/>
        <w:gridCol w:w="3300"/>
        <w:gridCol w:w="1035"/>
        <w:gridCol w:w="767"/>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rPr>
              <w:t xml:space="preserve">单位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底板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37.5*37.5*20mm*36个；</w:t>
            </w:r>
            <w:r/>
          </w:p>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75*37.5*20mm*24个；</w:t>
            </w:r>
            <w:r/>
          </w:p>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112.5*37.5*20mm*12个；</w:t>
            </w:r>
            <w:r/>
          </w:p>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75*75*20mm*24个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小木棍(长)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木质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190*5*5mm*28根</w:t>
            </w:r>
            <w:r/>
          </w:p>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140*5*5mm*20根</w:t>
            </w:r>
            <w:r/>
          </w:p>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90*5*5mm*20根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彩色方框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35*35*5mm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数字滑块（数字1）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36.5*36.5*10mm</w:t>
            </w:r>
            <w:r/>
          </w:p>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数字1~数字9各6个，共计54个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功能滑块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spacing w:after="200" w:afterAutospacing="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36.5*36.5*10mm</w:t>
            </w:r>
            <w:r/>
          </w:p>
          <w:p>
            <w:pPr>
              <w:jc w:val="center"/>
              <w:keepLines w:val="0"/>
              <w:keepNext w:val="0"/>
              <w:spacing w:after="200" w:afterAutospacing="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箭头滑块*16个</w:t>
            </w:r>
            <w:r/>
          </w:p>
          <w:p>
            <w:pPr>
              <w:jc w:val="center"/>
              <w:keepLines w:val="0"/>
              <w:keepNext w:val="0"/>
              <w:spacing w:after="200" w:afterAutospacing="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加减滑块（+1）*4个；</w:t>
            </w:r>
            <w:r/>
          </w:p>
          <w:p>
            <w:pPr>
              <w:jc w:val="center"/>
              <w:keepLines w:val="0"/>
              <w:keepNext w:val="0"/>
              <w:spacing w:after="200" w:afterAutospacing="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加减滑块（+2）*4个；</w:t>
            </w:r>
            <w:r/>
          </w:p>
          <w:p>
            <w:pPr>
              <w:jc w:val="center"/>
              <w:keepLines w:val="0"/>
              <w:keepNext w:val="0"/>
              <w:spacing w:after="200" w:afterAutospacing="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加减滑块（+3）*4个；</w:t>
            </w:r>
            <w:r/>
          </w:p>
          <w:p>
            <w:pPr>
              <w:jc w:val="center"/>
              <w:keepLines w:val="0"/>
              <w:keepNext w:val="0"/>
              <w:spacing w:after="200" w:afterAutospacing="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加减滑块（-1）*4个；</w:t>
            </w:r>
            <w:r/>
          </w:p>
          <w:p>
            <w:pPr>
              <w:jc w:val="center"/>
              <w:keepLines w:val="0"/>
              <w:keepNext w:val="0"/>
              <w:spacing w:after="200" w:afterAutospacing="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加减滑块（-2）*4个；</w:t>
            </w:r>
            <w:r/>
          </w:p>
          <w:p>
            <w:pPr>
              <w:jc w:val="center"/>
              <w:keepLines w:val="0"/>
              <w:keepNext w:val="0"/>
              <w:spacing w:after="200" w:afterAutospacing="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加减滑块（-3）*4个；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灰色方块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25*25*25mm</w:t>
            </w:r>
            <w:r/>
          </w:p>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数字1、2各40个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橙色方块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25*25*25mm</w:t>
            </w:r>
            <w:r/>
          </w:p>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数字1、2各40个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尖尖大树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30*30*65mm</w:t>
            </w:r>
            <w:r/>
          </w:p>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橙色、绿色各20个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小咕咕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28*28*34mm</w:t>
            </w:r>
            <w:r/>
          </w:p>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灰色、橙色各8个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大咕咕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28*28*48.5mm</w:t>
            </w:r>
            <w:r/>
          </w:p>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灰色、橙色各8个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数字骰子（数字1~3）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木质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25*25*25mm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数字骰子（数字1~6）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木质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25*25*25mm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圆片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26*26*4mm</w:t>
            </w:r>
            <w:r/>
          </w:p>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橙色、灰色各50个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小草堆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35*25*11mm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圆球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木质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直径35mm</w:t>
            </w:r>
            <w:r/>
          </w:p>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浅色、深色各18个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紫萝卜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24*24*32mm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盖子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340*270*15mm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分格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242*153*80mm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盒子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340*270*100mm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游戏规则卡（高级）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纸质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220*220mm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建构卡片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纸质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220*220mm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捉迷藏游戏卡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纸质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880*220mm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教师指导手册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纸质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285*210mm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rPr>
              <w:t xml:space="preserve">册</w:t>
            </w:r>
            <w:r/>
          </w:p>
        </w:tc>
      </w:tr>
    </w:tbl>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注：1、本项目不接受进口产品。</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本项目核心产品为：</w:t>
      </w:r>
      <w:r>
        <w:rPr>
          <w:rFonts w:hint="eastAsia" w:ascii="宋体" w:hAnsi="宋体" w:eastAsia="宋体" w:cs="宋体"/>
          <w:b/>
          <w:bCs/>
          <w:color w:val="auto"/>
          <w:sz w:val="24"/>
          <w:szCs w:val="24"/>
          <w:highlight w:val="none"/>
          <w:lang w:eastAsia="zh-CN"/>
        </w:rPr>
        <w:t xml:space="preserve">“大型综合体锻游戏”。</w:t>
      </w:r>
      <w:r/>
    </w:p>
    <w:p>
      <w:pPr>
        <w:numPr>
          <w:ilvl w:val="0"/>
          <w:numId w:val="0"/>
        </w:num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以上规格要求中固定尺寸及数值根据实际情况允许偏离±5%，但不得影响采购人实际使用，否则做无效标处理。以上清单中如出现品牌、型号仅作参考，并没有限制性，投标人在投标文件中可以选用替代标准，但这些替代标准要优于或相当于招标文件要求，同时注明所投产品的品牌、型号、规格和生产厂家及一些必须说明的技术参数，以及使用的材料的清单等，以满足采购人的需要。</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、现行有效的国家强制性标准不得负偏离，否则做无效标处理。</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（二）其他要求</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供应商提供货物及配件均为按国家规格条例生产的合格正规产品、符合设计规范要求。所有投标产品的生产、制造、安装等各项技术标准应当符合国家（强制性）标准、各项规范要求；产品质量及安装符合国家质量标准和验收规范，并响应招标文件所规定技术性能要求，以及中标人承诺的其他指标；国家具有强制性标准的，所投产品须符合国家强制性标准。</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2、投标产品必须完全符合采购产品规定的质量、规格和性能的要求，响应供应商应保证其提供的产品在正确安装、正常使用和保养条件下，在规定的使用寿命期内具有满意的性能。</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3、投标人应提供绿色环保的货物</w:t>
      </w:r>
      <w:r>
        <w:rPr>
          <w:rFonts w:hint="eastAsia" w:ascii="宋体" w:hAnsi="宋体" w:cs="宋体"/>
          <w:color w:val="auto"/>
          <w:spacing w:val="-4"/>
          <w:sz w:val="24"/>
          <w:szCs w:val="24"/>
          <w:highlight w:val="none"/>
        </w:rPr>
        <w:t xml:space="preserve">。</w:t>
      </w:r>
      <w:r>
        <w:rPr>
          <w:rFonts w:hint="eastAsia" w:ascii="宋体" w:hAnsi="宋体"/>
          <w:bCs/>
          <w:color w:val="auto"/>
          <w:sz w:val="24"/>
          <w:szCs w:val="24"/>
          <w:highlight w:val="none"/>
        </w:rPr>
        <w:t xml:space="preserve">所使用的主辅材料应符合国家环保标准。招标文件中的材质要求为最低参照要求，如有偏离只能高于原材质要求，低于原材质要求的投标文件为无效投标文件。</w:t>
      </w:r>
      <w:r/>
    </w:p>
    <w:p>
      <w:pPr>
        <w:ind w:firstLine="315"/>
        <w:jc w:val="both"/>
        <w:spacing w:line="360" w:lineRule="auto"/>
        <w:widowControl w:val="off"/>
        <w:tabs>
          <w:tab w:val="left" w:pos="142" w:leader="none"/>
        </w:tabs>
        <w:rPr>
          <w:rFonts w:hint="eastAsia" w:ascii="宋体" w:hAnsi="宋体" w:cs="宋体"/>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、投标人</w:t>
      </w:r>
      <w:r>
        <w:rPr>
          <w:rFonts w:hint="eastAsia" w:ascii="宋体" w:hAnsi="宋体" w:cs="宋体"/>
          <w:color w:val="auto"/>
          <w:sz w:val="24"/>
          <w:szCs w:val="24"/>
          <w:highlight w:val="none"/>
        </w:rPr>
        <w:t xml:space="preserve">应能保证所提供货物涉及到的知识产权是合法取得，并享有完整的知识产权，不会因为</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方的使用而被责令停止使用、追偿或要求赔偿损失，如出现此情况，一切经济和法律责任均由供方承担。供方提供的所有货物必须为合格产品，质量符合国家通用标准，如出现质量问题或系假冒伪劣产品，供应商负责包退、包换，发生的费用由供应商负责。</w:t>
      </w:r>
      <w:r/>
    </w:p>
    <w:p>
      <w:pPr>
        <w:ind w:firstLine="420"/>
        <w:jc w:val="both"/>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所有设备在到达安装现场时须经采购单位技术人员记录验收后才可进行设备安装，验货时须提交该产品的原厂质量合格证明及服务质保证明文件。所有设备、附（配）件应具备该类产品的功能要求，无瑕疵和缺陷，质量为合格产品，同时有明确的生产厂商或制造厂商。缺陷保修：如果设备交付使用后，缺陷多次反复出现，中标方必须提出分析报告和解决方案，更换该产品，直到最后纠正缺陷、投标人提供质保从纠正之日起重新计算质保期。如果是超出投标人的责任范围的疏忽、误操作等情况而导致的更换修正，应由投标人进行修理，其额外费用由双方协商承担。</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、交货时间：合同签订生效后40日内完成交货、安装工作（具体根据采购方要求）。</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、交货地点：甲方指定地点。</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、安装调试要求：中标人应遵守现场的一切规章制度，文明</w:t>
      </w:r>
      <w:r>
        <w:rPr>
          <w:rFonts w:hint="eastAsia" w:ascii="宋体" w:hAnsi="宋体"/>
          <w:bCs/>
          <w:color w:val="auto"/>
          <w:sz w:val="24"/>
          <w:szCs w:val="24"/>
          <w:highlight w:val="none"/>
          <w:lang w:val="en-US" w:eastAsia="zh-CN"/>
        </w:rPr>
        <w:t xml:space="preserve">作业</w:t>
      </w:r>
      <w:r>
        <w:rPr>
          <w:rFonts w:hint="eastAsia" w:ascii="宋体" w:hAnsi="宋体"/>
          <w:bCs/>
          <w:color w:val="auto"/>
          <w:sz w:val="24"/>
          <w:szCs w:val="24"/>
          <w:highlight w:val="none"/>
        </w:rPr>
        <w:t xml:space="preserve">；中标人负责保管、看护进场的设备及附配件直至完成安装调试验收合格后交付采购人；中标人负责</w:t>
      </w:r>
      <w:r>
        <w:rPr>
          <w:rFonts w:hint="eastAsia" w:ascii="宋体" w:hAnsi="宋体"/>
          <w:bCs/>
          <w:color w:val="auto"/>
          <w:sz w:val="24"/>
          <w:szCs w:val="24"/>
          <w:highlight w:val="none"/>
          <w:lang w:val="en-US" w:eastAsia="zh-CN"/>
        </w:rPr>
        <w:t xml:space="preserve">为</w:t>
      </w:r>
      <w:r>
        <w:rPr>
          <w:rFonts w:hint="eastAsia" w:ascii="宋体" w:hAnsi="宋体"/>
          <w:bCs/>
          <w:color w:val="auto"/>
          <w:sz w:val="24"/>
          <w:szCs w:val="24"/>
          <w:highlight w:val="none"/>
        </w:rPr>
        <w:t xml:space="preserve">设备、安装设备（工具）等提供适当的保护、包装或覆盖等处理，直至验收合格，以免受损；中标人</w:t>
      </w:r>
      <w:r>
        <w:rPr>
          <w:rFonts w:hint="eastAsia" w:ascii="宋体" w:hAnsi="宋体"/>
          <w:bCs/>
          <w:color w:val="auto"/>
          <w:sz w:val="24"/>
          <w:szCs w:val="24"/>
          <w:highlight w:val="none"/>
          <w:lang w:val="en-US" w:eastAsia="zh-CN"/>
        </w:rPr>
        <w:t xml:space="preserve">安装作业</w:t>
      </w:r>
      <w:r>
        <w:rPr>
          <w:rFonts w:hint="eastAsia" w:ascii="宋体" w:hAnsi="宋体"/>
          <w:bCs/>
          <w:color w:val="auto"/>
          <w:sz w:val="24"/>
          <w:szCs w:val="24"/>
          <w:highlight w:val="none"/>
        </w:rPr>
        <w:t xml:space="preserve">工人、</w:t>
      </w:r>
      <w:r>
        <w:rPr>
          <w:rFonts w:hint="eastAsia" w:ascii="宋体" w:hAnsi="宋体"/>
          <w:bCs/>
          <w:color w:val="auto"/>
          <w:sz w:val="24"/>
          <w:szCs w:val="24"/>
          <w:highlight w:val="none"/>
          <w:lang w:val="en-US" w:eastAsia="zh-CN"/>
        </w:rPr>
        <w:t xml:space="preserve">作业</w:t>
      </w:r>
      <w:r>
        <w:rPr>
          <w:rFonts w:hint="eastAsia" w:ascii="宋体" w:hAnsi="宋体"/>
          <w:bCs/>
          <w:color w:val="auto"/>
          <w:sz w:val="24"/>
          <w:szCs w:val="24"/>
          <w:highlight w:val="none"/>
        </w:rPr>
        <w:t xml:space="preserve">机械或在运输装卸途中对其他工程及邻近设备、管线等造成损坏，应由中标人负责修复及承担切费用；无论调试期间或保修过程中，</w:t>
      </w:r>
      <w:r>
        <w:rPr>
          <w:rFonts w:hint="eastAsia" w:ascii="宋体" w:hAnsi="宋体"/>
          <w:bCs/>
          <w:color w:val="auto"/>
          <w:sz w:val="24"/>
          <w:szCs w:val="24"/>
          <w:highlight w:val="none"/>
          <w:lang w:val="en-US" w:eastAsia="zh-CN"/>
        </w:rPr>
        <w:t xml:space="preserve">均由</w:t>
      </w:r>
      <w:r>
        <w:rPr>
          <w:rFonts w:hint="eastAsia" w:ascii="宋体" w:hAnsi="宋体"/>
          <w:bCs/>
          <w:color w:val="auto"/>
          <w:sz w:val="24"/>
          <w:szCs w:val="24"/>
          <w:highlight w:val="none"/>
        </w:rPr>
        <w:t xml:space="preserve">中标人负责及时清理垃圾；中标人须做好与安装、土建、装饰等队伍的配合工作；中标人须自备</w:t>
      </w:r>
      <w:r>
        <w:rPr>
          <w:rFonts w:hint="eastAsia" w:ascii="宋体" w:hAnsi="宋体"/>
          <w:bCs/>
          <w:color w:val="auto"/>
          <w:sz w:val="24"/>
          <w:szCs w:val="24"/>
          <w:highlight w:val="none"/>
          <w:lang w:val="en-US" w:eastAsia="zh-CN"/>
        </w:rPr>
        <w:t xml:space="preserve">作</w:t>
      </w:r>
      <w:r>
        <w:rPr>
          <w:rFonts w:hint="eastAsia" w:ascii="宋体" w:hAnsi="宋体"/>
          <w:bCs/>
          <w:color w:val="auto"/>
          <w:sz w:val="24"/>
          <w:szCs w:val="24"/>
          <w:highlight w:val="none"/>
        </w:rPr>
        <w:t xml:space="preserve">业必备工具和设备，含分电箱、电线和相关工具等；中标人现场作业的流程、工具或设备等须符合国家安全标准。</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、售后服务要求：</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eastAsia="宋体" w:cs="宋体"/>
          <w:color w:val="auto"/>
          <w:sz w:val="24"/>
          <w:szCs w:val="24"/>
          <w:highlight w:val="none"/>
        </w:rPr>
        <w:t xml:space="preserve">除户外大型玩具区域质保期为二年，其余质保期均为一年，质保期自货物最终验收合格并交付使用之日起计算。在质保期内，一旦发生质量问题，中标供应商保证在接到通知2小时内响应，12小时内到达现场，24小时以内完成采购人提出的维修要求；修理、更换或退货，费用由中标人负责，同时在质保期内，每半年须组织售后服务人员对所供货物进行巡检一次。</w:t>
      </w:r>
      <w:r/>
    </w:p>
    <w:p>
      <w:pPr>
        <w:ind w:firstLine="420"/>
        <w:jc w:val="both"/>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（2）零配件应保证10年以上的供应期，提供主要零配件的优惠价。</w:t>
      </w:r>
      <w:r/>
    </w:p>
    <w:p>
      <w:pPr>
        <w:ind w:firstLine="420"/>
        <w:jc w:val="both"/>
        <w:spacing w:line="360" w:lineRule="auto"/>
        <w:widowControl w:val="off"/>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（3）免费提供对采购方操作人员的免费应用技术培训，时间、地点由采购方协商而定。</w:t>
      </w:r>
      <w:r/>
    </w:p>
    <w:p>
      <w:pPr>
        <w:ind w:firstLine="422"/>
        <w:jc w:val="both"/>
        <w:spacing w:line="360" w:lineRule="auto"/>
        <w:widowControl w:val="off"/>
        <w:rPr>
          <w:rFonts w:hint="eastAsia" w:ascii="宋体" w:hAnsi="宋体"/>
          <w:b/>
          <w:color w:val="auto"/>
          <w:sz w:val="24"/>
          <w:szCs w:val="24"/>
          <w:highlight w:val="none"/>
        </w:rPr>
        <w:outlineLvl w:val="1"/>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三）</w:t>
      </w:r>
      <w:r>
        <w:rPr>
          <w:rFonts w:hint="eastAsia" w:ascii="宋体" w:hAnsi="宋体"/>
          <w:b/>
          <w:color w:val="auto"/>
          <w:sz w:val="24"/>
          <w:szCs w:val="24"/>
          <w:highlight w:val="none"/>
        </w:rPr>
        <w:t xml:space="preserve">验收要求：</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1、中标单位必须严格按照投标时所投产品品牌进行生产、加工、供货，提供货物绝不低于招标文件规定的规格和材质要求，如果采购人发现一件产品不符合国家标准及</w:t>
      </w:r>
      <w:r>
        <w:rPr>
          <w:rFonts w:hint="eastAsia" w:ascii="宋体" w:hAnsi="宋体"/>
          <w:bCs/>
          <w:color w:val="auto"/>
          <w:sz w:val="24"/>
          <w:szCs w:val="24"/>
          <w:highlight w:val="none"/>
          <w:lang w:eastAsia="zh-CN"/>
        </w:rPr>
        <w:t xml:space="preserve">招标文件</w:t>
      </w:r>
      <w:r>
        <w:rPr>
          <w:rFonts w:hint="eastAsia" w:ascii="宋体" w:hAnsi="宋体"/>
          <w:bCs/>
          <w:color w:val="auto"/>
          <w:sz w:val="24"/>
          <w:szCs w:val="24"/>
          <w:highlight w:val="none"/>
        </w:rPr>
        <w:t xml:space="preserve">要求，中标单位需无条件退货，并按照合同无条件支付违约金给采购人，违约金从采购人应付中标单位的任何款项中支付。同时采购方有权终止合同，并保留追究中标单位责任的权利。</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2、在交货时必须原包装现场拆封验收。采购方有权邀请相关质检部门和专家进行现场抽检（对中标单位</w:t>
      </w:r>
      <w:r>
        <w:rPr>
          <w:rFonts w:hint="eastAsia" w:ascii="宋体" w:hAnsi="宋体"/>
          <w:bCs/>
          <w:color w:val="auto"/>
          <w:sz w:val="24"/>
          <w:szCs w:val="24"/>
          <w:highlight w:val="none"/>
        </w:rPr>
        <w:t xml:space="preserve">的产品按不超过合同总金额5%的比例进行随机抽检），并出具书面检验报告，相关检测费用及专家费用等由中标单位承担，采购方不再另行支付，若中标单位未予支付的，将在成交金额中扣除。采购方及采购方指定质检部门和专家如对供货产品进行破坏性检测，中标单位必须无偿补全对应产品。若检验检测合格，采购方组织整个项目的验收，由采购方与中标单位双方共同对标的物的数量、规格、外观、质量、性能、随机备件备品、装箱单、随机资料、包装等进行详细而全面的检验。每个产品必须出具生产厂商的出厂产品检验合格证。验收合格后，采购方签收送货回单，并将</w:t>
      </w:r>
      <w:r>
        <w:rPr>
          <w:rFonts w:hint="eastAsia" w:ascii="宋体" w:hAnsi="宋体" w:eastAsia="宋体" w:cs="宋体"/>
          <w:color w:val="auto"/>
          <w:sz w:val="24"/>
          <w:szCs w:val="24"/>
          <w:highlight w:val="none"/>
        </w:rPr>
        <w:t xml:space="preserve">签收验收合格证明</w:t>
      </w:r>
      <w:r>
        <w:rPr>
          <w:rFonts w:hint="eastAsia" w:ascii="宋体" w:hAnsi="宋体"/>
          <w:bCs/>
          <w:color w:val="auto"/>
          <w:sz w:val="24"/>
          <w:szCs w:val="24"/>
          <w:highlight w:val="none"/>
        </w:rPr>
        <w:t xml:space="preserve">盖章签名。履行验收报告作为采购方验收的依据，但不作为有关标的物质量、规格或性能的最终检验结果。</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3、验收标准：中标单位提供的货物必须符合我国最新颁布的与之相关的技术规范与标准，同时必须满足招标文件中所列规格、具体配置、技术条件及功能要求和</w:t>
      </w:r>
      <w:r>
        <w:rPr>
          <w:rFonts w:hint="eastAsia" w:ascii="宋体" w:hAnsi="宋体"/>
          <w:bCs/>
          <w:color w:val="auto"/>
          <w:sz w:val="24"/>
          <w:szCs w:val="24"/>
          <w:highlight w:val="none"/>
          <w:lang w:val="en-US" w:eastAsia="zh-CN"/>
        </w:rPr>
        <w:t xml:space="preserve">中标单位</w:t>
      </w:r>
      <w:r>
        <w:rPr>
          <w:rFonts w:hint="eastAsia" w:ascii="宋体" w:hAnsi="宋体"/>
          <w:bCs/>
          <w:color w:val="auto"/>
          <w:sz w:val="24"/>
          <w:szCs w:val="24"/>
          <w:highlight w:val="none"/>
        </w:rPr>
        <w:t xml:space="preserve">承诺的其它指标及有关规定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由采购方验收通过。</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4、在质保期内，如果标的物的数量、质量或规格与合同不符或证实标的物是具有缺陷的，包括潜在缺陷或使用不符合要求的材料等，采购方将以书面形式通知中标单位并提出索赔。</w:t>
      </w:r>
      <w:r/>
    </w:p>
    <w:p>
      <w:pPr>
        <w:ind w:firstLine="420"/>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5、验收期限在安装调试结束30个工作日内进行。特殊情况需延长的，双方应特别约定。</w:t>
      </w:r>
      <w:r/>
    </w:p>
    <w:p>
      <w:p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outlineLvl w:val="9"/>
      </w:pPr>
      <w:r>
        <w:rPr>
          <w:rFonts w:hint="eastAsia" w:ascii="宋体" w:hAnsi="宋体"/>
          <w:bCs/>
          <w:color w:val="auto"/>
          <w:sz w:val="24"/>
          <w:szCs w:val="24"/>
          <w:highlight w:val="none"/>
        </w:rPr>
        <w:t xml:space="preserve">6、验收结果经双方确认后，双方代表须按规定的验收项目填好</w:t>
      </w:r>
      <w:r>
        <w:rPr>
          <w:rFonts w:hint="eastAsia" w:ascii="宋体" w:hAnsi="宋体" w:eastAsia="宋体" w:cs="宋体"/>
          <w:color w:val="auto"/>
          <w:sz w:val="24"/>
          <w:szCs w:val="24"/>
          <w:highlight w:val="none"/>
        </w:rPr>
        <w:t xml:space="preserve">签收验收合格证明</w:t>
      </w:r>
      <w:r>
        <w:rPr>
          <w:rFonts w:hint="eastAsia" w:ascii="宋体" w:hAnsi="宋体"/>
          <w:bCs/>
          <w:color w:val="auto"/>
          <w:sz w:val="24"/>
          <w:szCs w:val="24"/>
          <w:highlight w:val="none"/>
        </w:rPr>
        <w:t xml:space="preserve">并盖章签名。履行验收报告作为最终付款所需文件的组成部分。如双方对验收结果有分歧，则以苏州市产品质量监督检验所的检验结果为准，检验费由有中标单位支付。</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b/>
          <w:bCs/>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1024" behindDoc="0" locked="0" layoutInCell="1" allowOverlap="1">
                <wp:simplePos x="0" y="0"/>
                <wp:positionH relativeFrom="column">
                  <wp:posOffset>28575</wp:posOffset>
                </wp:positionH>
                <wp:positionV relativeFrom="paragraph">
                  <wp:posOffset>332105</wp:posOffset>
                </wp:positionV>
                <wp:extent cx="5969635" cy="5650865"/>
                <wp:effectExtent l="0" t="0" r="12065" b="6985"/>
                <wp:wrapTopAndBottom/>
                <wp:docPr id="1" name="图片 4" descr="a6f54206a4dde20a72eb33aff5e5248"/>
                <wp:cNvGraphicFramePr/>
                <a:graphic xmlns:a="http://schemas.openxmlformats.org/drawingml/2006/main">
                  <a:graphicData uri="http://schemas.openxmlformats.org/drawingml/2006/picture">
                    <pic:pic xmlns:pic="http://schemas.openxmlformats.org/drawingml/2006/picture">
                      <pic:nvPicPr>
                        <pic:cNvPr id="1029" name="图片 4" descr="a6f54206a4dde20a72eb33aff5e5248"/>
                        <pic:cNvPicPr/>
                        <pic:nvPr/>
                      </pic:nvPicPr>
                      <pic:blipFill>
                        <a:blip r:embed="rId11"/>
                        <a:stretch/>
                      </pic:blipFill>
                      <pic:spPr bwMode="auto">
                        <a:xfrm>
                          <a:off x="0" y="0"/>
                          <a:ext cx="5969635" cy="56508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024;o:allowoverlap:true;o:allowincell:true;mso-position-horizontal-relative:text;margin-left:2.2pt;mso-position-horizontal:absolute;mso-position-vertical-relative:text;margin-top:26.1pt;mso-position-vertical:absolute;width:470.0pt;height:444.9pt;mso-wrap-distance-left:0.0pt;mso-wrap-distance-top:0.0pt;mso-wrap-distance-right:0.0pt;mso-wrap-distance-bottom:0.0pt;" stroked="false">
                <v:path textboxrect="0,0,0,0"/>
                <w10:wrap type="topAndBottom"/>
                <v:imagedata r:id="rId11" o:title=""/>
              </v:shape>
            </w:pict>
          </mc:Fallback>
        </mc:AlternateContent>
      </w:r>
      <w:r>
        <w:rPr>
          <w:rFonts w:hint="eastAsia" w:ascii="宋体" w:hAnsi="宋体" w:eastAsia="宋体" w:cs="宋体"/>
          <w:b/>
          <w:bCs/>
          <w:color w:val="auto"/>
          <w:sz w:val="24"/>
          <w:szCs w:val="24"/>
          <w:highlight w:val="none"/>
          <w:lang w:val="en-US" w:eastAsia="zh-CN"/>
        </w:rPr>
        <w:t xml:space="preserve">（四）现场图示</w:t>
      </w:r>
      <w:r/>
    </w:p>
    <w:p>
      <w:pPr>
        <w:jc w:val="left"/>
        <w:spacing w:line="360" w:lineRule="auto"/>
        <w:rPr>
          <w:rFonts w:hint="eastAsia" w:ascii="宋体" w:hAnsi="宋体"/>
          <w:b w:val="0"/>
          <w:bCs w:val="0"/>
          <w:color w:val="auto"/>
          <w:sz w:val="24"/>
          <w:highlight w:val="none"/>
          <w:lang w:eastAsia="zh-CN"/>
        </w:rPr>
      </w:pPr>
      <w:r>
        <w:rPr>
          <w:rFonts w:hint="eastAsia" w:ascii="宋体" w:hAnsi="宋体"/>
          <w:b w:val="0"/>
          <w:bCs w:val="0"/>
          <w:color w:val="auto"/>
          <w:sz w:val="24"/>
          <w:highlight w:val="none"/>
          <w:lang w:val="en-US" w:eastAsia="zh-CN"/>
        </w:rPr>
        <w:t xml:space="preserve">四、其他</w:t>
      </w:r>
      <w:r>
        <w:rPr>
          <w:rFonts w:hint="eastAsia" w:ascii="宋体" w:hAnsi="宋体"/>
          <w:b w:val="0"/>
          <w:bCs w:val="0"/>
          <w:color w:val="auto"/>
          <w:sz w:val="24"/>
          <w:highlight w:val="none"/>
          <w:lang w:eastAsia="zh-CN"/>
        </w:rPr>
        <w:t xml:space="preserve">要求：</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zh-CN"/>
        </w:rPr>
        <w:t xml:space="preserve">1、投标总报价应包括所投产品及其备品、备件和专用工具费用、税费及包装、运至最终目的地的运输、保险、现场吊装、搬运费、安装调试、检测验收、采购单位指定部门的抽样产品的检测检验费用、技术支持与培训、售后服务与维保及相关劳务支出等工作所发生的全部费用以及</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zh-CN"/>
        </w:rPr>
        <w:t xml:space="preserve">企业利润、税金、代理服务费和政策性文件规定及合同包含的所有风险、责任等各项应有费用。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中标单位根据招标文件、投标文件的相关约定，承担合同责任，履行合同义务。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color w:val="auto"/>
          <w:sz w:val="24"/>
          <w:highlight w:val="none"/>
        </w:rPr>
      </w:pPr>
      <w:r>
        <w:rPr>
          <w:rFonts w:hint="eastAsia" w:ascii="宋体" w:hAnsi="宋体"/>
          <w:color w:val="auto"/>
          <w:sz w:val="24"/>
          <w:highlight w:val="none"/>
          <w:lang w:val="en-US" w:eastAsia="zh-CN"/>
        </w:rPr>
        <w:t xml:space="preserve">五、</w:t>
      </w:r>
      <w:r>
        <w:rPr>
          <w:rFonts w:hint="eastAsia"/>
          <w:color w:val="auto"/>
          <w:sz w:val="24"/>
          <w:highlight w:val="none"/>
        </w:rPr>
        <w:t xml:space="preserve">综合说明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供应商所提供的相关产品应根据国家标准和规范进行设计和制造，并遵循投标采购文件的要求，其产品的质量性能、技术指标和使用功能应满足采购要求，是技术成熟的、性能优良，整体设计和软硬件配备全新的原厂产品。如其中某些条款不能完全满足时，应在投标响应文件中逐条列出，未列出的视同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2、投标响应文件必须如实进行实质性响应，量化指标必须列明具体数值。投标供应商提供的技术资料必须真实、准确，</w:t>
      </w:r>
      <w:r>
        <w:rPr>
          <w:rFonts w:ascii="宋体" w:hAnsi="宋体"/>
          <w:color w:val="auto"/>
          <w:sz w:val="24"/>
          <w:highlight w:val="none"/>
        </w:rPr>
        <w:t xml:space="preserve">如提供的参数虚假或对招标文件所要求说明的情况故意隐瞒或虚报，</w:t>
      </w:r>
      <w:r>
        <w:rPr>
          <w:rFonts w:hint="eastAsia" w:ascii="宋体" w:hAnsi="宋体"/>
          <w:color w:val="auto"/>
          <w:sz w:val="24"/>
          <w:highlight w:val="none"/>
        </w:rPr>
        <w:t xml:space="preserve">按《中华人民共和国政府采购法》第七十七条的相关办法处理。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投标采购文件提出的要求，并未对一切细节作出规定，也未充分引述全部有关标准和规范的条文，投标供应商提供的所有产品（包括设计、制造以及节能环保等）都应符合已颁布的现行中华人民共和国认可的（部颁、行业）标准和国际标准化组织以及等效或更优的其他国家的权威性标准和规范的有关条文。如果这些标准内容有矛盾时，应按最高标准的条款执行。</w:t>
      </w:r>
      <w:bookmarkEnd w:id="51"/>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政府采购政策</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1、绿色采购：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根据《关于调整优化节能产品、环境标志产品政府采购执行机制的通知》（财库〔2019〕9号）等相关文件的规定，</w:t>
      </w:r>
      <w:r>
        <w:rPr>
          <w:rFonts w:hint="eastAsia" w:ascii="宋体" w:hAnsi="宋体" w:eastAsia="宋体" w:cs="宋体"/>
          <w:b/>
          <w:bCs/>
          <w:color w:val="auto"/>
          <w:sz w:val="24"/>
          <w:highlight w:val="none"/>
        </w:rPr>
        <w:t xml:space="preserve">对属于《节能产品政府采购品目清单》中强制采购范围内产品的，供应商须提供</w:t>
      </w:r>
      <w:r>
        <w:rPr>
          <w:rFonts w:hint="eastAsia" w:ascii="宋体" w:hAnsi="宋体" w:cs="宋体"/>
          <w:b/>
          <w:bCs/>
          <w:color w:val="auto"/>
          <w:sz w:val="24"/>
          <w:highlight w:val="none"/>
          <w:lang w:val="en-US" w:eastAsia="zh-CN"/>
        </w:rPr>
        <w:t xml:space="preserve">该产品</w:t>
      </w:r>
      <w:r>
        <w:rPr>
          <w:rFonts w:hint="eastAsia" w:ascii="宋体" w:hAnsi="宋体" w:eastAsia="宋体" w:cs="宋体"/>
          <w:b/>
          <w:bCs/>
          <w:color w:val="auto"/>
          <w:sz w:val="24"/>
          <w:highlight w:val="none"/>
        </w:rPr>
        <w:t xml:space="preserve">有效期之内的节能产品认证证书，</w:t>
      </w:r>
      <w:r>
        <w:rPr>
          <w:rFonts w:hint="eastAsia" w:ascii="宋体" w:hAnsi="宋体" w:cs="宋体"/>
          <w:b/>
          <w:bCs/>
          <w:color w:val="auto"/>
          <w:sz w:val="24"/>
          <w:highlight w:val="none"/>
          <w:lang w:val="en-US" w:eastAsia="zh-CN"/>
        </w:rPr>
        <w:t xml:space="preserve">未提供的</w:t>
      </w:r>
      <w:r>
        <w:rPr>
          <w:rFonts w:hint="eastAsia" w:ascii="宋体" w:hAnsi="宋体" w:eastAsia="宋体" w:cs="宋体"/>
          <w:b/>
          <w:bCs/>
          <w:color w:val="auto"/>
          <w:sz w:val="24"/>
          <w:highlight w:val="none"/>
        </w:rPr>
        <w:t xml:space="preserve">视为未实质性响应</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上述品目清单可通过“中国政府采购网”（http://www.ccgp.gov.cn）查询</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4"/>
          <w:highlight w:val="none"/>
          <w:lang w:eastAsia="zh-CN"/>
        </w:rPr>
        <w:t xml:space="preserve">、《财政部关于进一步加大政府采购支持中小企业力度的通知》（财库〔2022〕19号）等文件</w:t>
      </w:r>
      <w:r>
        <w:rPr>
          <w:rFonts w:hint="eastAsia" w:ascii="宋体" w:hAnsi="宋体" w:eastAsia="宋体" w:cs="宋体"/>
          <w:color w:val="auto"/>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w:t>
      </w:r>
      <w:r>
        <w:rPr>
          <w:rFonts w:hint="eastAsia" w:ascii="宋体" w:hAnsi="宋体" w:cs="宋体"/>
          <w:color w:val="auto"/>
          <w:sz w:val="24"/>
          <w:highlight w:val="none"/>
          <w:lang w:val="en-US" w:eastAsia="zh-CN"/>
        </w:rPr>
        <w:t xml:space="preserve">货物类政府</w:t>
      </w:r>
      <w:r>
        <w:rPr>
          <w:rFonts w:hint="eastAsia" w:ascii="宋体" w:hAnsi="宋体" w:eastAsia="宋体" w:cs="宋体"/>
          <w:color w:val="auto"/>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w:t>
      </w:r>
      <w:r>
        <w:rPr>
          <w:rFonts w:hint="eastAsia" w:ascii="宋体" w:hAnsi="宋体" w:cs="宋体"/>
          <w:b w:val="0"/>
          <w:bCs w:val="0"/>
          <w:color w:val="auto"/>
          <w:sz w:val="24"/>
          <w:highlight w:val="none"/>
          <w:lang w:val="en-US" w:eastAsia="zh-CN"/>
        </w:rPr>
        <w:t xml:space="preserve">服务类</w:t>
      </w:r>
      <w:r>
        <w:rPr>
          <w:rFonts w:hint="eastAsia" w:ascii="宋体" w:hAnsi="宋体" w:eastAsia="宋体" w:cs="宋体"/>
          <w:b w:val="0"/>
          <w:bCs w:val="0"/>
          <w:color w:val="auto"/>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政府采购促进中小企业发展管理办法》及《苏州市政府采购促进中小企业发展实施意见》的相关规定，本项目专门面向中小微企业，所属行业：工业，本项目所供货物须全部由中小微企业制造，监狱企业、残疾人福利性单位视为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残疾人福利性单位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监狱企业</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lang w:eastAsia="zh-CN"/>
        </w:rPr>
        <w:t xml:space="preserve">，未</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eastAsia="zh-CN"/>
        </w:rPr>
        <w:t xml:space="preserve">则不享受相关政策。</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1.1采购代理机构会在接收响应文件截止时间后，在信用中国（www.creditchina.gov.cn）网站输入供应商全称或统一社会信用代码查询信用记录，并将查询结果递交评审小组。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right="0"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rPr>
          <w:rFonts w:hint="eastAsia" w:ascii="宋体" w:hAnsi="宋体" w:eastAsia="宋体" w:cs="宋体"/>
          <w:bCs/>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对存在失信信息的供应商，由失信供应商进行确认。同时，采购代理机构工作人员应根据评审小组确认的失信信息，登陆到相关来源网站页面进行复核并打印，作为证据留存。</w:t>
      </w:r>
      <w:r/>
    </w:p>
    <w:p>
      <w:pPr>
        <w:pStyle w:val="894"/>
        <w:ind w:right="0"/>
        <w:keepLines w:val="0"/>
        <w:keepNext w:val="0"/>
        <w:pageBreakBefore w:val="0"/>
        <w:spacing w:line="360" w:lineRule="auto"/>
        <w:tabs>
          <w:tab w:val="left" w:pos="9000" w:leader="none"/>
        </w:tabs>
        <w:rPr>
          <w:rFonts w:hint="eastAsia" w:ascii="宋体" w:hAnsi="宋体" w:eastAsia="宋体" w:cs="宋体"/>
          <w:color w:val="auto"/>
          <w:sz w:val="24"/>
          <w:szCs w:val="24"/>
          <w:highlight w:val="none"/>
        </w:rPr>
        <w:outlineLvl w:val="9"/>
      </w:pPr>
      <w:r>
        <w:rPr>
          <w:rFonts w:hint="eastAsia"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、凡涉及采购文件的补充说明和修改，均以</w:t>
      </w:r>
      <w:r>
        <w:rPr>
          <w:rFonts w:hint="eastAsia" w:ascii="宋体" w:hAnsi="宋体" w:eastAsia="宋体" w:cs="宋体"/>
          <w:bCs/>
          <w:color w:val="auto"/>
          <w:sz w:val="24"/>
          <w:highlight w:val="none"/>
        </w:rPr>
        <w:t xml:space="preserve">中国政府采购网中央主网、江苏政府采购网、苏州</w:t>
      </w:r>
      <w:r>
        <w:rPr>
          <w:rFonts w:hint="eastAsia" w:hAnsi="宋体" w:eastAsia="宋体" w:cs="宋体"/>
          <w:bCs/>
          <w:color w:val="auto"/>
          <w:sz w:val="24"/>
          <w:highlight w:val="none"/>
          <w:lang w:val="en-US" w:eastAsia="zh-CN"/>
        </w:rPr>
        <w:t xml:space="preserve">市</w:t>
      </w:r>
      <w:r>
        <w:rPr>
          <w:rFonts w:hint="eastAsia" w:ascii="宋体" w:hAnsi="宋体" w:eastAsia="宋体" w:cs="宋体"/>
          <w:bCs/>
          <w:color w:val="auto"/>
          <w:sz w:val="24"/>
          <w:highlight w:val="none"/>
        </w:rPr>
        <w:t xml:space="preserve">政府采购网</w:t>
      </w:r>
      <w:r>
        <w:rPr>
          <w:rFonts w:hint="eastAsia" w:ascii="宋体" w:hAnsi="宋体" w:eastAsia="宋体" w:cs="宋体"/>
          <w:color w:val="auto"/>
          <w:sz w:val="24"/>
          <w:szCs w:val="24"/>
          <w:highlight w:val="none"/>
        </w:rPr>
        <w:t xml:space="preserve">发布的文件为准。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b/>
          <w:bCs/>
          <w:color w:val="auto"/>
          <w:sz w:val="24"/>
          <w:highlight w:val="none"/>
        </w:rPr>
      </w:r>
      <w:r/>
    </w:p>
    <w:p>
      <w:pPr>
        <w:pStyle w:val="881"/>
        <w:jc w:val="center"/>
        <w:spacing w:after="312" w:line="360" w:lineRule="auto"/>
        <w:tabs>
          <w:tab w:val="right" w:pos="8302" w:leader="dot"/>
        </w:tabs>
        <w:rPr>
          <w:rStyle w:val="857"/>
          <w:rFonts w:hint="eastAsia" w:ascii="宋体" w:hAnsi="宋体" w:eastAsia="宋体" w:cs="宋体"/>
          <w:b w:val="0"/>
          <w:bCs/>
          <w:color w:val="auto"/>
          <w:sz w:val="36"/>
          <w:szCs w:val="36"/>
          <w:highlight w:val="none"/>
        </w:rPr>
      </w:pPr>
      <w:r>
        <w:rPr>
          <w:rStyle w:val="857"/>
          <w:rFonts w:hint="eastAsia" w:ascii="宋体" w:hAnsi="宋体" w:eastAsia="宋体" w:cs="宋体"/>
          <w:b w:val="0"/>
          <w:bCs/>
          <w:color w:val="auto"/>
          <w:sz w:val="36"/>
          <w:szCs w:val="36"/>
          <w:highlight w:val="none"/>
        </w:rPr>
        <w:t xml:space="preserve">第五章  合同文本</w:t>
      </w:r>
      <w:r/>
    </w:p>
    <w:p>
      <w:pPr>
        <w:pStyle w:val="895"/>
        <w:ind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甲  方：</w:t>
      </w:r>
      <w:r/>
    </w:p>
    <w:p>
      <w:pPr>
        <w:pStyle w:val="895"/>
        <w:ind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地  址：</w:t>
      </w:r>
      <w:r/>
    </w:p>
    <w:p>
      <w:pPr>
        <w:pStyle w:val="895"/>
        <w:ind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联系人：</w:t>
      </w:r>
      <w:r/>
    </w:p>
    <w:p>
      <w:pPr>
        <w:pStyle w:val="895"/>
        <w:ind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联系电话：</w:t>
      </w:r>
      <w:r/>
    </w:p>
    <w:p>
      <w:pPr>
        <w:pStyle w:val="895"/>
        <w:ind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p>
      <w:pPr>
        <w:pStyle w:val="895"/>
        <w:ind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乙  方： </w:t>
      </w:r>
      <w:r/>
    </w:p>
    <w:p>
      <w:pPr>
        <w:pStyle w:val="895"/>
        <w:ind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地  址： </w:t>
      </w:r>
      <w:r/>
    </w:p>
    <w:p>
      <w:pPr>
        <w:pStyle w:val="895"/>
        <w:ind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法定代表人： </w:t>
      </w:r>
      <w:r/>
    </w:p>
    <w:p>
      <w:pPr>
        <w:pStyle w:val="895"/>
        <w:ind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联系人：</w:t>
      </w:r>
      <w:r/>
    </w:p>
    <w:p>
      <w:pPr>
        <w:pStyle w:val="895"/>
        <w:ind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联系电话：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根据苏州睿乔招投标咨询服务有限公司招标编号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政府采购文件及中标单位的投标文件和中标通知书，甲乙双方就此次中标项目的采购事宜，签订本合同书。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1.下列文件为本合同不可分割部分：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中标通知书；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乙方的投标文件；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乙方在招投标过程中所作的其它承诺、声明、书面澄清等；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招标文件及其附件；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 合同附件。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以上文件与合同具有同等法律效力。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2.乙方对提供的标的物应当拥有完整的物权，并且负有保证第三人不得向甲方主张任何权利（包括知识产权）的义务。</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二、费用及结算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1.本合同总金额为：人民币              元整（￥        ）。以上价格</w:t>
      </w:r>
      <w:r>
        <w:rPr>
          <w:rFonts w:hint="eastAsia" w:ascii="宋体" w:hAnsi="宋体" w:eastAsia="宋体" w:cs="宋体"/>
          <w:bCs/>
          <w:color w:val="auto"/>
          <w:sz w:val="24"/>
          <w:szCs w:val="24"/>
          <w:highlight w:val="none"/>
        </w:rPr>
        <w:t xml:space="preserve">包括所投产品及其备品、备件和专用工具费用、税费及包装、运至最终目的地的运输、保险、现场吊装、搬运费、安装调试、检测验收、</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指定部门的抽样产品的检测检验费用、技术支持与培训、售后服务与维保及相关劳务支出等工作所发生的全部费用以及</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企业利润、税金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代理服务费</w:t>
      </w:r>
      <w:r>
        <w:rPr>
          <w:rFonts w:hint="eastAsia" w:ascii="宋体" w:hAnsi="宋体" w:eastAsia="宋体" w:cs="宋体"/>
          <w:bCs/>
          <w:color w:val="auto"/>
          <w:sz w:val="24"/>
          <w:szCs w:val="24"/>
          <w:highlight w:val="none"/>
        </w:rPr>
        <w:t xml:space="preserve">和政策性文件规定及合同包含的所有风险、责任等各项应有费用。</w:t>
      </w:r>
      <w:r/>
    </w:p>
    <w:p>
      <w:pPr>
        <w:ind w:firstLine="480"/>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2.合同价款的支付及付款方式：</w:t>
      </w:r>
      <w:r>
        <w:rPr>
          <w:rFonts w:hint="eastAsia" w:ascii="宋体" w:hAnsi="宋体" w:eastAsia="宋体" w:cs="宋体"/>
          <w:b w:val="0"/>
          <w:bCs w:val="0"/>
          <w:color w:val="auto"/>
          <w:sz w:val="24"/>
          <w:szCs w:val="24"/>
          <w:highlight w:val="none"/>
          <w:u w:val="none"/>
          <w:lang w:val="en-US" w:eastAsia="zh-CN"/>
        </w:rPr>
        <w:t xml:space="preserve">自合同签订生效后，甲方向乙方支付合同金额的30%作为预付款，现场布置完成经甲方验收合格后支付至合同金额的95%，尾款待质保期满后一次性付清。</w:t>
      </w:r>
      <w:r>
        <w:rPr>
          <w:rFonts w:hint="eastAsia" w:ascii="宋体" w:hAnsi="宋体" w:eastAsia="宋体" w:cs="宋体"/>
          <w:b w:val="0"/>
          <w:bCs w:val="0"/>
          <w:color w:val="auto"/>
          <w:sz w:val="24"/>
          <w:szCs w:val="24"/>
          <w:highlight w:val="none"/>
          <w:u w:val="none"/>
          <w:lang w:val="en-US"/>
        </w:rPr>
        <w:t xml:space="preserve">（关于项</w:t>
      </w:r>
      <w:r>
        <w:rPr>
          <w:rFonts w:hint="eastAsia" w:ascii="宋体" w:hAnsi="宋体" w:eastAsia="宋体" w:cs="宋体"/>
          <w:b w:val="0"/>
          <w:bCs w:val="0"/>
          <w:color w:val="auto"/>
          <w:sz w:val="24"/>
          <w:szCs w:val="24"/>
          <w:highlight w:val="none"/>
          <w:lang w:val="en-US"/>
        </w:rPr>
        <w:t xml:space="preserve">目预付款，在签订合同时，乙方明确表示无需预付款或者主动要求降低预付款比例的，甲方可不适用上述关于预付款的规定。具体实施要求按苏财购【2020】52号：一、建立政府采购资金预付款制度的相关规定。）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3.支付方式：</w:t>
      </w:r>
      <w:r>
        <w:rPr>
          <w:rFonts w:hint="eastAsia" w:ascii="宋体" w:hAnsi="宋体" w:eastAsia="宋体" w:cs="宋体"/>
          <w:color w:val="auto"/>
          <w:sz w:val="24"/>
          <w:szCs w:val="24"/>
          <w:highlight w:val="none"/>
          <w:lang w:val="en-US" w:eastAsia="zh-CN"/>
        </w:rPr>
        <w:t xml:space="preserve">本次货款以数字人民币形式支付</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4.账户信息</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开户名称：</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数字人民币ID号：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.付款前乙方应向甲方提供下述材料：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（1）合格的销售发票；（2）甲方盖章签收验收合格证明等其它有关证明材料。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.根据现行税法对甲方征收的与本合同有关的一切税费均由甲方承担；根据现行税法对乙方征收的与本合同有关的一切税费均由乙方承担。</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三、交货地点、时间、方式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1.交货地点：乙方交货至甲方指定地点，所发生的运输等费用及货物的损坏造成的损失由乙方承担。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2.交货时间：</w:t>
      </w:r>
      <w:r>
        <w:rPr>
          <w:rFonts w:hint="eastAsia" w:ascii="宋体" w:hAnsi="宋体" w:eastAsia="宋体" w:cs="宋体"/>
          <w:color w:val="auto"/>
          <w:sz w:val="24"/>
          <w:szCs w:val="24"/>
          <w:highlight w:val="none"/>
          <w:lang w:eastAsia="zh-CN"/>
        </w:rPr>
        <w:t xml:space="preserve">合同签订生效后40日内完成交货、安装工作（具体根据</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3.交货方式：乙方负责将货物安全完好运抵交货地点、安装调试并保证验收合格。</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1.乙方提交的货物由甲方负责验收。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本项目经甲方验收合格后，乙方将提供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年质量保证期。质量保证期内，乙方负责对其提供的货物实行免费维修。</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六、伴随服务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1.乙方应提供所交付货物的全套技术文件资料，包括产品目录、图纸、操作手册、使用说明、维护手册和服务指南等。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2.乙方还应提供下列服务：货物的现场安装、启动和试运行；提供货物组装和维修所需的工具；在质量保证期内对所交付货物提供运行监督、维修、保养等。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3.上述伴随服务的费用应包含在合同价中，不单独进行支付。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4.货物的包装、储运、安装按国家有关规定执行。</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七、质量保证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1.乙方应保证所提供的货物是原制造厂商制造的、经过合法销售渠道取得的、全新的、未使用过的，并完全符合合同规定的品牌、规格型号、技术性能、配置、质量、数量等要求。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八、索赔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1.甲方有权根据当地国家技术监督局、进出口商品检验局或其他具有法定资格的质检机构出具的检验证书向乙方提出索赔。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2.如果乙方对缺陷负有责任而甲方提出索赔，乙方应按照甲方同意的下列一种或多种方式解决索赔事宜：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（2）根据货物低劣、损坏程度以及甲方所遭受损失的金额，经双方商定降低货物的价格。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九、履约延误</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1.乙方应按照合同规定的时间、地点交货和提供服务；甲方应按照合同规定的时间、地点接收货物和接受服务。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2.如果乙方无正当理由拖延交货，将受到以下制裁：加收误期赔偿费、终止合同；如果甲方无正当理由拖延接收货物和接受服务，应承担相应责任。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十、误期赔偿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2.误期赔偿费可从应付货款中扣除。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3.收取误期赔偿费不影响甲方采取合同规定的其他补救措施的权利。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十一、不可抗力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十二、争端的解决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2.如果调解不成，双方中的任何一方可向人民法院提起诉讼。诉讼由合同签订地人民法院管辖。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十三、违约终止合同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（1）如果乙方未能在合同规定的限期或甲方同意延长的限期内提供部分或全部货物和服务。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（2）如果乙方未能履行合同规定的其它任何义务。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十四、破产终止合同：如果乙方破产或丧失清偿能力，甲方可在任何时候以书面形式通知乙方终止合同而不给乙方补偿。该终止合同将不损害或影响甲方已经采取或将要采取任何补救措施的权力。</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十六、合同转让和分包：本项目不得转包、分包。</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十七、合同生效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1.本合同系指本文件及其附件中的所有部分，招标文件、中标的投标文件、中标通知书、中标人在招标过程中的澄清和承诺等为本合同不可缺少的组成部分。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2.本合同在双方签字盖章后生效，合同生效后须网上公示。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3.本合同壹式陆份，甲乙双方各执贰份，招标代理机构壹份，监管部门壹份，各份具有同等法律效力。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4.本合同应按照中华人民共和国的现行法律进行解释。</w:t>
      </w:r>
      <w:r/>
    </w:p>
    <w:p>
      <w:pPr>
        <w:ind w:firstLine="480"/>
        <w:jc w:val="left"/>
        <w:keepLines w:val="0"/>
        <w:keepNext w:val="0"/>
        <w:pageBreakBefore w:val="0"/>
        <w:spacing w:line="360" w:lineRule="auto"/>
        <w:widowControl w:val="off"/>
        <w:tabs>
          <w:tab w:val="left" w:pos="360"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5.合同修改：除甲乙双方签署书面修改、补充协议，并成为本合同不可分割的一部分之外，本合同条件不得有任何变化或修改。</w:t>
      </w:r>
      <w:r/>
    </w:p>
    <w:p>
      <w:pPr>
        <w:numPr>
          <w:ilvl w:val="0"/>
          <w:numId w:val="0"/>
        </w:numPr>
        <w:ind w:firstLine="480"/>
        <w:keepLines w:val="0"/>
        <w:keepNext w:val="0"/>
        <w:pageBreakBefore w:val="0"/>
        <w:spacing w:line="360" w:lineRule="auto"/>
        <w:widowControl w:val="off"/>
        <w:tabs>
          <w:tab w:val="left" w:pos="0" w:leader="none"/>
          <w:tab w:val="left" w:pos="1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6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70"/>
        <w:rPr>
          <w:rFonts w:hint="eastAsia"/>
          <w:color w:val="auto"/>
          <w:highlight w:val="none"/>
        </w:rPr>
      </w:pPr>
      <w:r>
        <w:rPr>
          <w:rFonts w:hint="eastAsia"/>
          <w:color w:val="auto"/>
          <w:highlight w:val="none"/>
        </w:rPr>
      </w:r>
      <w:r/>
    </w:p>
    <w:p>
      <w:pPr>
        <w:pStyle w:val="881"/>
        <w:jc w:val="center"/>
        <w:spacing w:after="312" w:line="480" w:lineRule="auto"/>
        <w:tabs>
          <w:tab w:val="right" w:pos="8302" w:leader="dot"/>
        </w:tabs>
        <w:rPr>
          <w:rFonts w:hint="eastAsia" w:ascii="宋体" w:hAnsi="宋体" w:eastAsia="宋体" w:cs="宋体"/>
          <w:b/>
          <w:color w:val="auto"/>
          <w:sz w:val="32"/>
          <w:szCs w:val="32"/>
          <w:highlight w:val="none"/>
        </w:rPr>
      </w:pPr>
      <w:r>
        <w:rPr>
          <w:rStyle w:val="857"/>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4"/>
          <w:highlight w:val="none"/>
        </w:rPr>
      </w:pPr>
      <w:r/>
      <w:bookmarkStart w:id="52" w:name="_Toc163571923"/>
      <w:r/>
      <w:bookmarkStart w:id="53" w:name="_Toc179806444"/>
      <w:r>
        <w:rPr>
          <w:rFonts w:hint="eastAsia" w:ascii="宋体" w:hAnsi="宋体" w:eastAsia="宋体" w:cs="宋体"/>
          <w:bCs/>
          <w:color w:val="auto"/>
          <w:sz w:val="24"/>
          <w:highlight w:val="none"/>
        </w:rPr>
        <w:t xml:space="preserve">一、评标办法</w:t>
      </w:r>
      <w:bookmarkEnd w:id="52"/>
      <w:r/>
      <w:bookmarkEnd w:id="5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3、对评委的评分（除价格分外）进行统计汇总，评委人数在</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人的，直接算术平均计算得分。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shd w:val="clear" w:color="auto" w:fill="auto"/>
        </w:rPr>
        <w:t xml:space="preserve">如出现评标总得分最高的投标人有两个或两个以上的，以投标报价较低者优先作为该标段中标候选人，如果投标报价也相同的，则以抽签方式确定中标候选人</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、针对中小型企业、残疾人福利企业和监狱企业的评审：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意见&gt;的通知》（苏财购〔2022〕16号）、《财政部关于进一步加大政府采购支持中小企业力度的通知》（财库〔2022〕19号）等文件</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规定，对于符合上述文件规定情形的小微企业、残疾人福利性单位及监狱企业报价给予相应比例的扣除，其中货物和服务项目为</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工程项目为5%，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未提供则不享受相关政策</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②若供应商提供的声明函或认定证明为虚假材料，按“政府采购法”相关规定处理并报请政府监管部门给予行政处罚。</w:t>
      </w:r>
      <w:r/>
    </w:p>
    <w:p>
      <w:pPr>
        <w:pStyle w:val="670"/>
        <w:ind w:left="0" w:firstLine="482"/>
        <w:jc w:val="left"/>
        <w:keepLines w:val="0"/>
        <w:keepNext w:val="0"/>
        <w:pageBreakBefore w:val="0"/>
        <w:spacing w:after="0" w:line="360" w:lineRule="auto"/>
        <w:widowControl w:val="off"/>
        <w:rPr>
          <w:rFonts w:hint="eastAsia" w:ascii="宋体" w:hAnsi="宋体" w:eastAsia="宋体" w:cs="宋体"/>
          <w:b/>
          <w:bCs/>
          <w:color w:val="auto"/>
          <w:sz w:val="24"/>
          <w:highlight w:val="none"/>
          <w:u w:val="single"/>
          <w:lang w:val="en-US" w:eastAsia="zh-CN"/>
        </w:rPr>
        <w:outlineLvl w:val="9"/>
      </w:pPr>
      <w:r>
        <w:rPr>
          <w:rFonts w:hint="eastAsia" w:ascii="宋体" w:hAnsi="宋体" w:cs="宋体"/>
          <w:b/>
          <w:bCs/>
          <w:color w:val="auto"/>
          <w:sz w:val="24"/>
          <w:highlight w:val="none"/>
          <w:u w:val="single"/>
          <w:lang w:val="en-US" w:eastAsia="zh-CN"/>
        </w:rPr>
        <w:t xml:space="preserve">注：根据《关于印发&lt;苏州市政府采购促进中小企业发展实施意见&gt;的通知》（苏财购〔2022〕16号）相关要求，本项目为专门面向中小微企业采购的项目，不再执行价格评审优惠的扶持政策。</w:t>
      </w:r>
      <w:r/>
    </w:p>
    <w:p>
      <w:pPr>
        <w:numPr>
          <w:ilvl w:val="0"/>
          <w:numId w:val="2"/>
        </w:numPr>
        <w:ind w:right="-15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评分标准</w:t>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（一）价格基准分</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第一步：投标总报价低于或等于采购预算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最高限价）</w:t>
      </w:r>
      <w:r>
        <w:rPr>
          <w:rFonts w:hint="eastAsia" w:ascii="宋体" w:hAnsi="宋体" w:eastAsia="宋体" w:cs="宋体"/>
          <w:color w:val="auto"/>
          <w:sz w:val="24"/>
          <w:highlight w:val="none"/>
        </w:rPr>
        <w:t xml:space="preserve">价格的，为有效投标报价。超采购预算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最高限价）</w:t>
      </w:r>
      <w:r>
        <w:rPr>
          <w:rFonts w:hint="eastAsia" w:ascii="宋体" w:hAnsi="宋体" w:eastAsia="宋体" w:cs="宋体"/>
          <w:color w:val="auto"/>
          <w:sz w:val="24"/>
          <w:highlight w:val="none"/>
        </w:rPr>
        <w:t xml:space="preserve">的投标报价为无效投标报价。无效投标报价的投标文件不进行评审，也不得标。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分。其他投标人的价格分统一按照下列公式计算：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投标报价得分=（评标基准价/投标报价）*价格权值*100，小数点后保留两位（价格权值为</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履约能力比较（7分）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1、投标人或核心产品生产厂家具有有效期内的质量管理体系、环境管理体系、职业健康安全体系的，每提供1份得1分，最高得3分。（投标文件中提供证书扫描件，同时需提供网页查询截图，二者均需加盖</w:t>
      </w:r>
      <w:r>
        <w:rPr>
          <w:rFonts w:hint="eastAsia" w:ascii="宋体" w:hAnsi="宋体" w:cs="宋体"/>
          <w:color w:val="auto"/>
          <w:sz w:val="24"/>
          <w:szCs w:val="24"/>
          <w:highlight w:val="none"/>
          <w:lang w:val="en-US" w:eastAsia="zh-CN" w:bidi="ar-SA"/>
        </w:rPr>
        <w:t xml:space="preserve">签</w:t>
      </w:r>
      <w:r>
        <w:rPr>
          <w:rFonts w:hint="eastAsia" w:ascii="宋体" w:hAnsi="宋体" w:eastAsia="宋体" w:cs="宋体"/>
          <w:color w:val="auto"/>
          <w:sz w:val="24"/>
          <w:szCs w:val="24"/>
          <w:highlight w:val="none"/>
          <w:lang w:val="en-US" w:eastAsia="zh-CN" w:bidi="ar-SA"/>
        </w:rPr>
        <w:t xml:space="preserve">章，否则不得分）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2、投标人自2022年1月1日至今（以合同签订时间为准）的类似项目业绩，每提供一份得2分，最高得4分。（投标文件中提供合同及验收报告扫描件，二者均需加盖</w:t>
      </w:r>
      <w:r>
        <w:rPr>
          <w:rFonts w:hint="eastAsia" w:ascii="宋体" w:hAnsi="宋体" w:cs="宋体"/>
          <w:color w:val="auto"/>
          <w:sz w:val="24"/>
          <w:szCs w:val="24"/>
          <w:highlight w:val="none"/>
          <w:lang w:val="en-US" w:eastAsia="zh-CN" w:bidi="ar-SA"/>
        </w:rPr>
        <w:t xml:space="preserve">签</w:t>
      </w:r>
      <w:r>
        <w:rPr>
          <w:rFonts w:hint="eastAsia" w:ascii="宋体" w:hAnsi="宋体" w:eastAsia="宋体" w:cs="宋体"/>
          <w:color w:val="auto"/>
          <w:sz w:val="24"/>
          <w:szCs w:val="24"/>
          <w:highlight w:val="none"/>
          <w:lang w:val="en-US" w:eastAsia="zh-CN" w:bidi="ar-SA"/>
        </w:rPr>
        <w:t xml:space="preserve">章，否则不得分）。</w:t>
      </w:r>
      <w:r/>
    </w:p>
    <w:p>
      <w:pPr>
        <w:numPr>
          <w:ilvl w:val="0"/>
          <w:numId w:val="0"/>
        </w:num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检测报告（</w:t>
      </w:r>
      <w:r>
        <w:rPr>
          <w:rFonts w:hint="default" w:ascii="宋体" w:hAnsi="宋体" w:eastAsia="宋体" w:cs="宋体"/>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lang w:val="en-US" w:eastAsia="zh-CN" w:bidi="ar-SA"/>
        </w:rPr>
        <w:t xml:space="preserve">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测报告须由具有检测（检验）资质的法定机构出具。检测报告扫描件必须提供完整的检测报告内容及封面，必须扫描完整，局部扫描视为无效。或提供检测（检验）报告在相应官方网站（如全国认证认可证书查询系统等）上查询的页面截图，不提供或提供不全或提供无效检测（检验）报告的不得分。投标人在投标文件中可以选用替代标准，但这些替代标准要优于或相当于招标文件要求。检测报告中的产品名称与下述检测产品名称不一致时，经评标委员会认定内容实质相同的，视作等同。报告必须包含但不限于以下检测内容，检测结果符合或者优于检测标准得相应分值。</w:t>
      </w:r>
      <w:r/>
    </w:p>
    <w:p>
      <w:pPr>
        <w:numPr>
          <w:ilvl w:val="0"/>
          <w:numId w:val="3"/>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防腐木的检测报告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检测依据GB/T23229-2009《水载型木材防腐剂分析方法》、SB/T10404-2006《水载型防腐剂和阻燃剂主要成分的测定》，检测项目须包含但不限于:CuO(kgm³)、CrO₃(kg/m³)、As₂O₅(kg/m³)、边材透入率(%)、防腐材载药量(kg/m³)。（2分）</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木塑地板的检测报告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检测依据GB/T 24508-2020《木塑地板》，检测项目须包含但不限于：吸水尺寸变化率、静曲强度、表面耐污染腐蚀、总挥发性有机化合物(TVOC)释放率(72h)。（2分）</w:t>
      </w:r>
      <w:r/>
    </w:p>
    <w:p>
      <w:pPr>
        <w:numPr>
          <w:ilvl w:val="0"/>
          <w:numId w:val="3"/>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不锈钢螺丝安全套件的检测报告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检测依据GB/T 10125-2021《人造气氛腐蚀试验 盐雾试验》，检测项目须包含但不限于：中性盐雾试验。（2分）</w:t>
      </w:r>
      <w:r/>
    </w:p>
    <w:p>
      <w:pPr>
        <w:numPr>
          <w:ilvl w:val="0"/>
          <w:numId w:val="3"/>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镀锌钢管的检测报告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检测依据GB/T 10125-2021《人造气氛腐蚀试验 盐雾试验》，检测项目须包含但不限于：中性盐雾试验。（</w:t>
      </w: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numPr>
          <w:ilvl w:val="0"/>
          <w:numId w:val="3"/>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户外净味防腐耐候木油的检测报告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检测依据GB 18581-2020《木器涂料中有害物质限量》，检测项目须包含但不限于：有害物质含量检测：挥发性有机化合物）（VOC）含量，苯含量，甲苯、二甲苯、乙苯含量总和，可溶性重金属含量（铅Pb、镉Cd、铬Cr、汞Hg）、卤代烃的含量。（</w:t>
      </w: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670"/>
        <w:numPr>
          <w:ilvl w:val="0"/>
          <w:numId w:val="3"/>
        </w:numPr>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水性漆的检测报告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检测依据</w:t>
      </w:r>
      <w:r>
        <w:rPr>
          <w:rFonts w:hint="default" w:ascii="宋体" w:hAnsi="宋体" w:eastAsia="宋体" w:cs="宋体"/>
          <w:color w:val="auto"/>
          <w:sz w:val="24"/>
          <w:szCs w:val="24"/>
          <w:highlight w:val="none"/>
          <w:lang w:val="en-US" w:eastAsia="zh-CN" w:bidi="ar-SA"/>
        </w:rPr>
        <w:t xml:space="preserve">GB/T</w:t>
      </w:r>
      <w:r>
        <w:rPr>
          <w:rFonts w:hint="eastAsia" w:ascii="宋体" w:hAnsi="宋体" w:eastAsia="宋体" w:cs="宋体"/>
          <w:color w:val="auto"/>
          <w:sz w:val="24"/>
          <w:szCs w:val="24"/>
          <w:highlight w:val="none"/>
          <w:lang w:val="en-US" w:eastAsia="zh-CN" w:bidi="ar-SA"/>
        </w:rPr>
        <w:t xml:space="preserve"> </w:t>
      </w:r>
      <w:r>
        <w:rPr>
          <w:rFonts w:hint="default" w:ascii="宋体" w:hAnsi="宋体" w:eastAsia="宋体" w:cs="宋体"/>
          <w:color w:val="auto"/>
          <w:sz w:val="24"/>
          <w:szCs w:val="24"/>
          <w:highlight w:val="none"/>
          <w:lang w:val="en-US" w:eastAsia="zh-CN" w:bidi="ar-SA"/>
        </w:rPr>
        <w:t xml:space="preserve">22048—2022《玩具及儿童用品中特定邻苯二甲酸酯增塑剂的测定》</w:t>
      </w:r>
      <w:r>
        <w:rPr>
          <w:rFonts w:hint="eastAsia" w:ascii="宋体" w:hAnsi="宋体" w:eastAsia="宋体" w:cs="宋体"/>
          <w:color w:val="auto"/>
          <w:sz w:val="24"/>
          <w:szCs w:val="24"/>
          <w:highlight w:val="none"/>
          <w:lang w:val="en-US" w:eastAsia="zh-CN" w:bidi="ar-SA"/>
        </w:rPr>
        <w:t xml:space="preserve">，检测项目须包含但不限于：邻苯二甲酸二丁酯、邻苯二甲酸二(2-乙基)已酯、邻苯二甲酸丁基苄基酯、邻苯二甲酸二异壬酯、邻苯二甲酸二辛酯、邻苯二甲酸二异癸酯。（1分）</w:t>
      </w:r>
      <w:r/>
    </w:p>
    <w:p>
      <w:pPr>
        <w:numPr>
          <w:ilvl w:val="0"/>
          <w:numId w:val="0"/>
        </w:num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en-US" w:eastAsia="zh-CN" w:bidi="ar-SA"/>
        </w:rPr>
        <w:t xml:space="preserve">产品效果图呈现比较（24分）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1、户外大型玩具区域规划点位图（6分）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投标人结合采购人提供的</w:t>
      </w:r>
      <w:r>
        <w:rPr>
          <w:rFonts w:hint="eastAsia" w:ascii="宋体" w:hAnsi="宋体" w:eastAsia="宋体" w:cs="宋体"/>
          <w:color w:val="auto"/>
          <w:sz w:val="24"/>
          <w:szCs w:val="24"/>
          <w:highlight w:val="none"/>
          <w:lang w:val="en-US" w:eastAsia="zh-CN"/>
        </w:rPr>
        <w:t xml:space="preserve">现场图示、采购</w:t>
      </w:r>
      <w:r>
        <w:rPr>
          <w:rFonts w:hint="eastAsia" w:ascii="宋体" w:hAnsi="宋体" w:eastAsia="宋体" w:cs="宋体"/>
          <w:color w:val="auto"/>
          <w:sz w:val="24"/>
          <w:szCs w:val="24"/>
          <w:highlight w:val="none"/>
          <w:lang w:val="en-US" w:eastAsia="zh-CN" w:bidi="ar-SA"/>
        </w:rPr>
        <w:t xml:space="preserve">清单及参数要求出示户外大型玩具区域规划布置点位图，布置图完整详尽充分考虑实际场地的使用功能、与环境协调性高的得6分；布置图基本完整且基本考虑实际场地的使用功能、环境协调性基本一致的得3分；布置图使用功能、环境协调性不吻合的得1分；未提供的不得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2、综合游戏区域1（6分）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根据采购清单、项目地理环境及现场图示，提供符合本项目的综合游戏区域1效果图，出具至少三个视角效果图（包含但不限于正视图、俯视图、侧面图），评委根据产品效果图比较打分。整体空间利用合理、方案清晰美观、考虑全面、契合幼儿园整体风格，且科学合理、切实可行、可操作性强的得6分；空间利用较合理、方案较美观、考虑较全面、比较契合幼儿园整体风格，方案较科学合理、较切实可行、可操作性较强的得3分；方案一般、与幼儿园整体风格切合度一般，方案科学合理性、切实可行性、可操作性一般的得1分；未提供不得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3、综合游戏区域2（6分）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根据采购清单、项目地理环境及现场图示，提供符合本项目的综合游戏区域2效果图，出具至少三个视角效果图（包含但不限于正视图、俯视图、侧面图），评委根据产品效果图比较打分。整体空间利用合理、方案清晰美观、考虑全面、契合幼儿园整体风格，且科学合理、切实可行、可操作性强的得6分；空间利用较合理、方案较美观、考虑较全面、比较契合幼儿园整体风格，方案较科学合理、较切实可行、可操作性较强的得3分；方案一般、与幼儿园整体风格切合度一般，方案科学合理性、切实可行性、可操作性一般的得1分；未提供不得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4、综合游戏区域3（6分）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根据采购清单、项目地理环境及现场图示，提供符合本项目的综合游戏区域3效果图，出具至少三个视角效果图（包含但不限于正视图、俯视图、侧面图），评委根据产品效果图比较打分。整体空间利用合理、方案清晰美观、考虑全面、契合幼儿园整体风格，且科学合理、切实可行、可操作性强的得6分；空间利用较合理、方案较美观、考虑较全面、比较契合幼儿园整体风格，方案较科学合理、较切实可行、可操作性较强的得3分；方案一般、与幼儿园整体风格切合度一般，方案科学合理性、切实可行性、可操作性一般的得1分；未提供不得分。</w:t>
      </w:r>
      <w:r/>
    </w:p>
    <w:p>
      <w:p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服务方案比较（</w:t>
      </w:r>
      <w:r>
        <w:rPr>
          <w:rFonts w:hint="default" w:ascii="宋体" w:hAnsi="宋体" w:eastAsia="宋体" w:cs="宋体"/>
          <w:b/>
          <w:bCs/>
          <w:color w:val="auto"/>
          <w:sz w:val="24"/>
          <w:szCs w:val="24"/>
          <w:highlight w:val="none"/>
          <w:lang w:val="en-US" w:eastAsia="zh-CN" w:bidi="ar-SA"/>
        </w:rPr>
        <w:t xml:space="preserve">28</w:t>
      </w:r>
      <w:r>
        <w:rPr>
          <w:rFonts w:hint="eastAsia" w:ascii="宋体" w:hAnsi="宋体" w:eastAsia="宋体" w:cs="宋体"/>
          <w:b/>
          <w:bCs/>
          <w:color w:val="auto"/>
          <w:sz w:val="24"/>
          <w:szCs w:val="24"/>
          <w:highlight w:val="none"/>
          <w:lang w:val="en-US" w:eastAsia="zh-CN" w:bidi="ar-SA"/>
        </w:rPr>
        <w:t xml:space="preserve">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1、提供有效的项目服务期间安全文明保障措施（6分）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保障措施内容全面，科学合理、切实可行的得6分；保障措施内容比较全面；比较合理的得3分；保障措施内容基本完整、保障措施简略的得1分；未提供不得分。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2、提供有效的项目实施方案（6分）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括安装组织、进度控制、质量保证方案及保障措施等；具体安装方法、进度控制、质量保证保障措施、培训方案等。方案详细，条理清晰，功能结构描述完整、合理、详细得6分；方案较详细，条理较清晰，功能结构描述较完整、较合理、较详细得3分；方案描述只是简单涵盖上述内容，未作详细描述的得1分；未提供不得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3、售后服务方案（6分）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含但不限于售后服务机构介绍、售后服务体系制度、售后服务方式、明确的响应时间、专业技术人员保障、质保期内外售后服务方案以及应急处理措施等。方案完整、可行，能完全满足项目实施要求的得6分；方案较具体、可行，能基本满足项目实施要求的得3分；方案内容较简单，对项目实施要求响应一般的得1分；未提供不得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4、提供有效的项目应急预案措施（</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应急方案措施全面完善、措施得当、可行性强的得</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分；应急方案措施较全面、措施较得当、可行性尚可的得3分；应急方案措施基本全面、措施简略的得1分；未提供不得分。</w:t>
      </w:r>
      <w:r/>
    </w:p>
    <w:p>
      <w:pPr>
        <w:ind w:firstLine="42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5、思维游戏（中级）、（高级）活动方案（</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tabs>
          <w:tab w:val="left" w:pos="0" w:leader="none"/>
        </w:tabs>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针对幼儿园中班、大班活动的整体方案，要求符合产品清单和幼儿园年龄特点，符合幼儿园教学，方案详细、可实施性强得</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分；方案一般，有一定的可实施性得3分；方案简单得1分；方案不合理不得分。</w:t>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_GB2312">
    <w:panose1 w:val="02010609060101010101"/>
  </w:font>
  <w:font w:name="楷体_GB2312">
    <w:panose1 w:val="02010609060101010101"/>
  </w:font>
  <w:font w:name="Courier New">
    <w:panose1 w:val="02070309020205020404"/>
  </w:font>
  <w:font w:name="Arial">
    <w:panose1 w:val="020B0604020202020204"/>
  </w:font>
  <w:font w:name="Calibri">
    <w:panose1 w:val="020F050202020403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etween w:val="none" w:color="000000" w:sz="0" w:space="0"/>
      </w:pBdr>
      <w:framePr w:wrap="around" w:vAnchor="text" w:hAnchor="margin" w:xAlign="center" w:y="1"/>
    </w:pPr>
    <w:r>
      <w:fldChar w:fldCharType="begin"/>
    </w:r>
    <w:r>
      <w:rPr>
        <w:rStyle w:val="863"/>
      </w:rPr>
      <w:instrText xml:space="preserve"> PAGE  </w:instrText>
    </w:r>
    <w:r>
      <w:fldChar w:fldCharType="separate"/>
    </w:r>
    <w:r>
      <w:rPr>
        <w:rStyle w:val="863"/>
      </w:rPr>
      <w:t xml:space="preserve">- 195 -</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70"/>
    <w:link w:val="874"/>
    <w:uiPriority w:val="0"/>
    <w:qFormat/>
    <w:pPr>
      <w:jc w:val="both"/>
      <w:widowControl w:val="off"/>
    </w:pPr>
    <w:rPr>
      <w:rFonts w:hint="default" w:ascii="Calibri" w:hAnsi="Calibri" w:eastAsia="宋体" w:cs="Times New Roman"/>
      <w:sz w:val="21"/>
      <w:szCs w:val="24"/>
      <w:lang w:val="en-US" w:eastAsia="zh-CN" w:bidi="ar-SA"/>
    </w:rPr>
  </w:style>
  <w:style w:type="paragraph" w:styleId="659">
    <w:name w:val="Heading 1"/>
    <w:basedOn w:val="658"/>
    <w:next w:val="658"/>
    <w:link w:val="706"/>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707"/>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708"/>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09"/>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10"/>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11"/>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13"/>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4"/>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Layout w:type="fixed"/>
      <w:tblCellMar>
        <w:left w:w="108" w:type="dxa"/>
        <w:top w:w="0" w:type="dxa"/>
        <w:right w:w="108" w:type="dxa"/>
        <w:bottom w:w="0" w:type="dxa"/>
      </w:tblCellMar>
    </w:tblPr>
  </w:style>
  <w:style w:type="paragraph" w:styleId="670">
    <w:name w:val="Body Text Indent"/>
    <w:basedOn w:val="658"/>
    <w:next w:val="658"/>
    <w:uiPriority w:val="0"/>
    <w:qFormat/>
    <w:pPr>
      <w:ind w:left="420"/>
      <w:spacing w:after="120"/>
    </w:pPr>
  </w:style>
  <w:style w:type="paragraph" w:styleId="671">
    <w:name w:val="toc 7"/>
    <w:basedOn w:val="658"/>
    <w:next w:val="658"/>
    <w:uiPriority w:val="39"/>
    <w:unhideWhenUsed/>
    <w:qFormat/>
    <w:pPr>
      <w:ind w:left="1701" w:right="0" w:firstLine="0"/>
      <w:spacing w:after="57"/>
    </w:pPr>
  </w:style>
  <w:style w:type="paragraph" w:styleId="672">
    <w:name w:val="Normal Indent"/>
    <w:basedOn w:val="658"/>
    <w:next w:val="658"/>
    <w:uiPriority w:val="0"/>
    <w:qFormat/>
    <w:pPr>
      <w:ind w:firstLine="200"/>
    </w:pPr>
    <w:rPr>
      <w:sz w:val="24"/>
    </w:rPr>
  </w:style>
  <w:style w:type="paragraph" w:styleId="673">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annotation text"/>
    <w:basedOn w:val="658"/>
    <w:uiPriority w:val="99"/>
    <w:semiHidden/>
    <w:unhideWhenUsed/>
    <w:qFormat/>
    <w:pPr>
      <w:jc w:val="left"/>
    </w:pPr>
  </w:style>
  <w:style w:type="paragraph" w:styleId="675">
    <w:name w:val="Body Text"/>
    <w:basedOn w:val="658"/>
    <w:next w:val="658"/>
    <w:uiPriority w:val="0"/>
    <w:qFormat/>
    <w:pPr>
      <w:spacing w:after="120"/>
    </w:pPr>
  </w:style>
  <w:style w:type="paragraph" w:styleId="676">
    <w:name w:val="toc 5"/>
    <w:basedOn w:val="658"/>
    <w:next w:val="658"/>
    <w:uiPriority w:val="39"/>
    <w:unhideWhenUsed/>
    <w:qFormat/>
    <w:pPr>
      <w:ind w:left="1134" w:right="0" w:firstLine="0"/>
      <w:spacing w:after="57"/>
    </w:pPr>
  </w:style>
  <w:style w:type="paragraph" w:styleId="677">
    <w:name w:val="toc 3"/>
    <w:basedOn w:val="658"/>
    <w:next w:val="658"/>
    <w:uiPriority w:val="39"/>
    <w:unhideWhenUsed/>
    <w:qFormat/>
    <w:pPr>
      <w:ind w:left="567" w:right="0" w:firstLine="0"/>
      <w:spacing w:after="57"/>
    </w:pPr>
  </w:style>
  <w:style w:type="paragraph" w:styleId="678">
    <w:name w:val="Plain Text"/>
    <w:basedOn w:val="658"/>
    <w:uiPriority w:val="0"/>
    <w:qFormat/>
    <w:rPr>
      <w:rFonts w:ascii="宋体" w:hAnsi="Courier New" w:cs="Times New Roman"/>
    </w:rPr>
  </w:style>
  <w:style w:type="paragraph" w:styleId="679">
    <w:name w:val="toc 8"/>
    <w:basedOn w:val="658"/>
    <w:next w:val="658"/>
    <w:uiPriority w:val="39"/>
    <w:unhideWhenUsed/>
    <w:qFormat/>
    <w:pPr>
      <w:ind w:left="1984" w:right="0" w:firstLine="0"/>
      <w:spacing w:after="57"/>
    </w:pPr>
  </w:style>
  <w:style w:type="paragraph" w:styleId="680">
    <w:name w:val="Body Text Indent 2"/>
    <w:basedOn w:val="658"/>
    <w:uiPriority w:val="0"/>
    <w:qFormat/>
    <w:pPr>
      <w:ind w:left="1" w:firstLine="480"/>
      <w:spacing w:line="400" w:lineRule="exact"/>
      <w:tabs>
        <w:tab w:val="left" w:pos="360" w:leader="none"/>
      </w:tabs>
    </w:pPr>
    <w:rPr>
      <w:rFonts w:ascii="Times New Roman" w:hAnsi="Times New Roman" w:cs="Times New Roman"/>
      <w:sz w:val="24"/>
    </w:rPr>
  </w:style>
  <w:style w:type="paragraph" w:styleId="681">
    <w:name w:val="endnote text"/>
    <w:basedOn w:val="658"/>
    <w:link w:val="852"/>
    <w:uiPriority w:val="99"/>
    <w:semiHidden/>
    <w:unhideWhenUsed/>
    <w:qFormat/>
    <w:pPr>
      <w:spacing w:after="0" w:line="240" w:lineRule="auto"/>
    </w:pPr>
    <w:rPr>
      <w:sz w:val="20"/>
    </w:rPr>
  </w:style>
  <w:style w:type="paragraph" w:styleId="682">
    <w:name w:val="Footer"/>
    <w:basedOn w:val="658"/>
    <w:link w:val="725"/>
    <w:uiPriority w:val="99"/>
    <w:unhideWhenUsed/>
    <w:qFormat/>
    <w:pPr>
      <w:spacing w:after="0" w:line="240" w:lineRule="auto"/>
      <w:tabs>
        <w:tab w:val="center" w:pos="7143" w:leader="none"/>
        <w:tab w:val="right" w:pos="14287" w:leader="none"/>
      </w:tabs>
    </w:pPr>
  </w:style>
  <w:style w:type="paragraph" w:styleId="683">
    <w:name w:val="Body Text First Indent 2"/>
    <w:basedOn w:val="670"/>
    <w:uiPriority w:val="99"/>
    <w:unhideWhenUsed/>
    <w:qFormat/>
    <w:pPr>
      <w:ind w:firstLine="420"/>
    </w:pPr>
    <w:rPr>
      <w:rFonts w:ascii="楷体_GB2312" w:eastAsia="楷体_GB2312"/>
    </w:rPr>
  </w:style>
  <w:style w:type="paragraph" w:styleId="684">
    <w:name w:val="Header"/>
    <w:basedOn w:val="658"/>
    <w:link w:val="723"/>
    <w:uiPriority w:val="99"/>
    <w:unhideWhenUsed/>
    <w:qFormat/>
    <w:pPr>
      <w:spacing w:after="0" w:line="240" w:lineRule="auto"/>
      <w:tabs>
        <w:tab w:val="center" w:pos="7143" w:leader="none"/>
        <w:tab w:val="right" w:pos="14287" w:leader="none"/>
      </w:tabs>
    </w:pPr>
  </w:style>
  <w:style w:type="paragraph" w:styleId="685">
    <w:name w:val="toc 1"/>
    <w:basedOn w:val="658"/>
    <w:next w:val="658"/>
    <w:uiPriority w:val="39"/>
    <w:unhideWhenUsed/>
    <w:qFormat/>
    <w:pPr>
      <w:ind w:left="0" w:right="0" w:firstLine="0"/>
      <w:spacing w:after="57"/>
    </w:pPr>
  </w:style>
  <w:style w:type="paragraph" w:styleId="686">
    <w:name w:val="toc 4"/>
    <w:basedOn w:val="658"/>
    <w:next w:val="658"/>
    <w:uiPriority w:val="39"/>
    <w:unhideWhenUsed/>
    <w:qFormat/>
    <w:pPr>
      <w:ind w:left="850" w:right="0" w:firstLine="0"/>
      <w:spacing w:after="57"/>
    </w:pPr>
  </w:style>
  <w:style w:type="paragraph" w:styleId="687">
    <w:name w:val="Subtitle"/>
    <w:basedOn w:val="658"/>
    <w:next w:val="658"/>
    <w:link w:val="718"/>
    <w:uiPriority w:val="11"/>
    <w:qFormat/>
    <w:pPr>
      <w:spacing w:before="200" w:after="200"/>
    </w:pPr>
    <w:rPr>
      <w:sz w:val="24"/>
      <w:szCs w:val="24"/>
    </w:rPr>
  </w:style>
  <w:style w:type="paragraph" w:styleId="688">
    <w:name w:val="footnote text"/>
    <w:basedOn w:val="658"/>
    <w:link w:val="851"/>
    <w:uiPriority w:val="99"/>
    <w:semiHidden/>
    <w:unhideWhenUsed/>
    <w:qFormat/>
    <w:pPr>
      <w:spacing w:after="40" w:line="240" w:lineRule="auto"/>
    </w:pPr>
    <w:rPr>
      <w:sz w:val="18"/>
    </w:rPr>
  </w:style>
  <w:style w:type="paragraph" w:styleId="689">
    <w:name w:val="toc 6"/>
    <w:basedOn w:val="658"/>
    <w:next w:val="658"/>
    <w:uiPriority w:val="39"/>
    <w:unhideWhenUsed/>
    <w:qFormat/>
    <w:pPr>
      <w:ind w:left="1417" w:right="0" w:firstLine="0"/>
      <w:spacing w:after="57"/>
    </w:pPr>
  </w:style>
  <w:style w:type="paragraph" w:styleId="690">
    <w:name w:val="table of figures"/>
    <w:basedOn w:val="658"/>
    <w:next w:val="658"/>
    <w:uiPriority w:val="99"/>
    <w:unhideWhenUsed/>
    <w:qFormat/>
    <w:pPr>
      <w:spacing w:after="0" w:afterAutospacing="0"/>
    </w:pPr>
  </w:style>
  <w:style w:type="paragraph" w:styleId="691">
    <w:name w:val="toc 2"/>
    <w:basedOn w:val="658"/>
    <w:next w:val="658"/>
    <w:uiPriority w:val="39"/>
    <w:unhideWhenUsed/>
    <w:qFormat/>
    <w:pPr>
      <w:ind w:left="283" w:right="0" w:firstLine="0"/>
      <w:spacing w:after="57"/>
    </w:pPr>
  </w:style>
  <w:style w:type="paragraph" w:styleId="692">
    <w:name w:val="toc 9"/>
    <w:basedOn w:val="658"/>
    <w:next w:val="658"/>
    <w:uiPriority w:val="39"/>
    <w:unhideWhenUsed/>
    <w:qFormat/>
    <w:pPr>
      <w:ind w:left="2268" w:right="0" w:firstLine="0"/>
      <w:spacing w:after="57"/>
    </w:pPr>
  </w:style>
  <w:style w:type="paragraph" w:styleId="693">
    <w:name w:val="Normal (Web)"/>
    <w:basedOn w:val="658"/>
    <w:uiPriority w:val="0"/>
    <w:qFormat/>
    <w:pPr>
      <w:jc w:val="left"/>
      <w:spacing w:before="100" w:beforeAutospacing="1" w:after="100" w:afterAutospacing="1"/>
      <w:widowControl/>
    </w:pPr>
    <w:rPr>
      <w:rFonts w:ascii="宋体" w:hAnsi="宋体" w:eastAsia="宋体" w:cs="Times New Roman"/>
      <w:sz w:val="24"/>
    </w:rPr>
  </w:style>
  <w:style w:type="paragraph" w:styleId="694">
    <w:name w:val="Title"/>
    <w:basedOn w:val="658"/>
    <w:next w:val="658"/>
    <w:link w:val="717"/>
    <w:uiPriority w:val="10"/>
    <w:qFormat/>
    <w:pPr>
      <w:contextualSpacing/>
      <w:spacing w:before="300" w:after="200"/>
    </w:pPr>
    <w:rPr>
      <w:sz w:val="48"/>
      <w:szCs w:val="48"/>
    </w:rPr>
  </w:style>
  <w:style w:type="character" w:styleId="695">
    <w:name w:val="Strong"/>
    <w:basedOn w:val="668"/>
    <w:uiPriority w:val="0"/>
    <w:qFormat/>
    <w:rPr>
      <w:b/>
    </w:rPr>
  </w:style>
  <w:style w:type="character" w:styleId="696">
    <w:name w:val="endnote reference"/>
    <w:uiPriority w:val="99"/>
    <w:semiHidden/>
    <w:unhideWhenUsed/>
    <w:qFormat/>
    <w:rPr>
      <w:vertAlign w:val="superscript"/>
    </w:rPr>
  </w:style>
  <w:style w:type="character" w:styleId="697">
    <w:name w:val="FollowedHyperlink"/>
    <w:basedOn w:val="668"/>
    <w:uiPriority w:val="99"/>
    <w:semiHidden/>
    <w:unhideWhenUsed/>
    <w:qFormat/>
    <w:rPr>
      <w:color w:val="333333"/>
      <w:u w:val="none"/>
    </w:rPr>
  </w:style>
  <w:style w:type="character" w:styleId="698">
    <w:name w:val="Emphasis"/>
    <w:basedOn w:val="668"/>
    <w:uiPriority w:val="20"/>
    <w:qFormat/>
  </w:style>
  <w:style w:type="character" w:styleId="699">
    <w:name w:val="Hyperlink"/>
    <w:basedOn w:val="668"/>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02" w:customStyle="1">
    <w:name w:val="目录 51"/>
    <w:next w:val="658"/>
    <w:uiPriority w:val="0"/>
    <w:qFormat/>
    <w:pPr>
      <w:ind w:left="1275"/>
      <w:jc w:val="both"/>
    </w:pPr>
    <w:rPr>
      <w:rFonts w:hint="default" w:ascii="Calibri" w:hAnsi="Calibri" w:eastAsia="宋体" w:cs="Times New Roman"/>
      <w:sz w:val="21"/>
      <w:lang w:val="en-US" w:eastAsia="zh-CN" w:bidi="ar-SA"/>
    </w:rPr>
  </w:style>
  <w:style w:type="paragraph" w:styleId="703" w:customStyle="1">
    <w:name w:val="正文1"/>
    <w:basedOn w:val="658"/>
    <w:next w:val="658"/>
    <w:uiPriority w:val="0"/>
    <w:qFormat/>
    <w:pPr>
      <w:ind w:firstLine="480"/>
      <w:spacing w:line="440" w:lineRule="exact"/>
    </w:pPr>
    <w:rPr>
      <w:rFonts w:ascii="Times New Roman" w:hAnsi="Times New Roman" w:cs="Times New Roman"/>
      <w:bCs/>
      <w:color w:val="000000"/>
      <w:sz w:val="24"/>
      <w:szCs w:val="32"/>
    </w:rPr>
  </w:style>
  <w:style w:type="paragraph" w:styleId="704" w:customStyle="1">
    <w:name w:val="段"/>
    <w:next w:val="658"/>
    <w:uiPriority w:val="0"/>
    <w:qFormat/>
    <w:pPr>
      <w:ind w:firstLine="200"/>
      <w:jc w:val="both"/>
    </w:pPr>
    <w:rPr>
      <w:rFonts w:hint="default" w:ascii="宋体" w:hAnsi="Calibri" w:eastAsia="宋体" w:cs="Times New Roman"/>
      <w:sz w:val="21"/>
      <w:lang w:val="en-US" w:eastAsia="zh-CN" w:bidi="ar-SA"/>
    </w:rPr>
  </w:style>
  <w:style w:type="paragraph" w:styleId="705" w:customStyle="1">
    <w:name w:val="文本块1"/>
    <w:basedOn w:val="658"/>
    <w:uiPriority w:val="0"/>
    <w:qFormat/>
    <w:pPr>
      <w:ind w:left="630" w:right="-609" w:firstLine="420"/>
      <w:spacing w:line="360" w:lineRule="auto"/>
    </w:pPr>
    <w:rPr>
      <w:rFonts w:hint="eastAsia" w:ascii="仿宋_GB2312" w:hAnsi="Times New Roman" w:eastAsia="仿宋_GB2312" w:cs="Times New Roman"/>
      <w:szCs w:val="20"/>
    </w:rPr>
  </w:style>
  <w:style w:type="character" w:styleId="706" w:customStyle="1">
    <w:name w:val="Heading 1 Char"/>
    <w:link w:val="659"/>
    <w:uiPriority w:val="9"/>
    <w:qFormat/>
    <w:rPr>
      <w:rFonts w:ascii="Arial" w:hAnsi="Arial" w:eastAsia="Arial" w:cs="Arial"/>
      <w:sz w:val="40"/>
      <w:szCs w:val="40"/>
    </w:rPr>
  </w:style>
  <w:style w:type="character" w:styleId="707" w:customStyle="1">
    <w:name w:val="Heading 2 Char"/>
    <w:link w:val="660"/>
    <w:uiPriority w:val="9"/>
    <w:qFormat/>
    <w:rPr>
      <w:rFonts w:ascii="Arial" w:hAnsi="Arial" w:eastAsia="Arial" w:cs="Arial"/>
      <w:sz w:val="34"/>
    </w:rPr>
  </w:style>
  <w:style w:type="character" w:styleId="708" w:customStyle="1">
    <w:name w:val="Heading 3 Char"/>
    <w:link w:val="661"/>
    <w:uiPriority w:val="9"/>
    <w:qFormat/>
    <w:rPr>
      <w:rFonts w:ascii="Arial" w:hAnsi="Arial" w:eastAsia="Arial" w:cs="Arial"/>
      <w:sz w:val="30"/>
      <w:szCs w:val="30"/>
    </w:rPr>
  </w:style>
  <w:style w:type="character" w:styleId="709" w:customStyle="1">
    <w:name w:val="Heading 4 Char"/>
    <w:link w:val="662"/>
    <w:uiPriority w:val="9"/>
    <w:qFormat/>
    <w:rPr>
      <w:rFonts w:ascii="Arial" w:hAnsi="Arial" w:eastAsia="Arial" w:cs="Arial"/>
      <w:b/>
      <w:bCs/>
      <w:sz w:val="26"/>
      <w:szCs w:val="26"/>
    </w:rPr>
  </w:style>
  <w:style w:type="character" w:styleId="710" w:customStyle="1">
    <w:name w:val="Heading 5 Char"/>
    <w:link w:val="663"/>
    <w:uiPriority w:val="9"/>
    <w:qFormat/>
    <w:rPr>
      <w:rFonts w:ascii="Arial" w:hAnsi="Arial" w:eastAsia="Arial" w:cs="Arial"/>
      <w:b/>
      <w:bCs/>
      <w:sz w:val="24"/>
      <w:szCs w:val="24"/>
    </w:rPr>
  </w:style>
  <w:style w:type="character" w:styleId="711" w:customStyle="1">
    <w:name w:val="Heading 6 Char"/>
    <w:link w:val="664"/>
    <w:uiPriority w:val="9"/>
    <w:qFormat/>
    <w:rPr>
      <w:rFonts w:ascii="Arial" w:hAnsi="Arial" w:eastAsia="Arial" w:cs="Arial"/>
      <w:b/>
      <w:bCs/>
      <w:sz w:val="22"/>
      <w:szCs w:val="22"/>
    </w:rPr>
  </w:style>
  <w:style w:type="character" w:styleId="712" w:customStyle="1">
    <w:name w:val="Heading 7 Char"/>
    <w:link w:val="665"/>
    <w:uiPriority w:val="9"/>
    <w:qFormat/>
    <w:rPr>
      <w:rFonts w:ascii="Arial" w:hAnsi="Arial" w:eastAsia="Arial" w:cs="Arial"/>
      <w:b/>
      <w:bCs/>
      <w:i/>
      <w:iCs/>
      <w:sz w:val="22"/>
      <w:szCs w:val="22"/>
    </w:rPr>
  </w:style>
  <w:style w:type="character" w:styleId="713" w:customStyle="1">
    <w:name w:val="Heading 8 Char"/>
    <w:link w:val="666"/>
    <w:uiPriority w:val="9"/>
    <w:qFormat/>
    <w:rPr>
      <w:rFonts w:ascii="Arial" w:hAnsi="Arial" w:eastAsia="Arial" w:cs="Arial"/>
      <w:i/>
      <w:iCs/>
      <w:sz w:val="22"/>
      <w:szCs w:val="22"/>
    </w:rPr>
  </w:style>
  <w:style w:type="character" w:styleId="714" w:customStyle="1">
    <w:name w:val="Heading 9 Char"/>
    <w:link w:val="667"/>
    <w:uiPriority w:val="9"/>
    <w:qFormat/>
    <w:rPr>
      <w:rFonts w:ascii="Arial" w:hAnsi="Arial" w:eastAsia="Arial" w:cs="Arial"/>
      <w:i/>
      <w:iCs/>
      <w:sz w:val="21"/>
      <w:szCs w:val="21"/>
    </w:rPr>
  </w:style>
  <w:style w:type="paragraph" w:styleId="715">
    <w:name w:val="List Paragraph"/>
    <w:basedOn w:val="658"/>
    <w:uiPriority w:val="34"/>
    <w:qFormat/>
    <w:pPr>
      <w:contextualSpacing/>
      <w:ind w:left="720"/>
    </w:pPr>
  </w:style>
  <w:style w:type="paragraph" w:styleId="716">
    <w:name w:val="No Spacing"/>
    <w:uiPriority w:val="1"/>
    <w:qFormat/>
    <w:pPr>
      <w:spacing w:before="0" w:after="0" w:line="240" w:lineRule="auto"/>
    </w:pPr>
    <w:rPr>
      <w:rFonts w:hint="default" w:ascii="Calibri" w:hAnsi="Calibri" w:eastAsia="宋体" w:cs="Times New Roman"/>
    </w:rPr>
  </w:style>
  <w:style w:type="character" w:styleId="717" w:customStyle="1">
    <w:name w:val="Title Char"/>
    <w:link w:val="694"/>
    <w:uiPriority w:val="10"/>
    <w:qFormat/>
    <w:rPr>
      <w:sz w:val="48"/>
      <w:szCs w:val="48"/>
    </w:rPr>
  </w:style>
  <w:style w:type="character" w:styleId="718" w:customStyle="1">
    <w:name w:val="Subtitle Char"/>
    <w:link w:val="687"/>
    <w:uiPriority w:val="11"/>
    <w:qFormat/>
    <w:rPr>
      <w:sz w:val="24"/>
      <w:szCs w:val="24"/>
    </w:rPr>
  </w:style>
  <w:style w:type="paragraph" w:styleId="719">
    <w:name w:val="Quote"/>
    <w:basedOn w:val="658"/>
    <w:next w:val="658"/>
    <w:link w:val="720"/>
    <w:uiPriority w:val="29"/>
    <w:qFormat/>
    <w:pPr>
      <w:ind w:left="720" w:right="720"/>
    </w:pPr>
    <w:rPr>
      <w:i/>
    </w:rPr>
  </w:style>
  <w:style w:type="character" w:styleId="720" w:customStyle="1">
    <w:name w:val="Quote Char"/>
    <w:link w:val="719"/>
    <w:uiPriority w:val="29"/>
    <w:qFormat/>
    <w:rPr>
      <w:i/>
    </w:rPr>
  </w:style>
  <w:style w:type="paragraph" w:styleId="721">
    <w:name w:val="Intense Quote"/>
    <w:basedOn w:val="658"/>
    <w:next w:val="658"/>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Intense Quote Char"/>
    <w:link w:val="721"/>
    <w:uiPriority w:val="30"/>
    <w:qFormat/>
    <w:rPr>
      <w:i/>
    </w:rPr>
  </w:style>
  <w:style w:type="character" w:styleId="723" w:customStyle="1">
    <w:name w:val="Header Char"/>
    <w:link w:val="684"/>
    <w:uiPriority w:val="99"/>
    <w:qFormat/>
  </w:style>
  <w:style w:type="character" w:styleId="724" w:customStyle="1">
    <w:name w:val="Footer Char"/>
    <w:link w:val="682"/>
    <w:uiPriority w:val="99"/>
    <w:qFormat/>
  </w:style>
  <w:style w:type="character" w:styleId="725" w:customStyle="1">
    <w:name w:val="Caption Char"/>
    <w:link w:val="682"/>
    <w:uiPriority w:val="99"/>
    <w:qFormat/>
  </w:style>
  <w:style w:type="table" w:styleId="7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3"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1" w:customStyle="1">
    <w:name w:val="Footnote Text Char"/>
    <w:link w:val="688"/>
    <w:uiPriority w:val="99"/>
    <w:qFormat/>
    <w:rPr>
      <w:sz w:val="18"/>
    </w:rPr>
  </w:style>
  <w:style w:type="character" w:styleId="852" w:customStyle="1">
    <w:name w:val="Endnote Text Char"/>
    <w:link w:val="681"/>
    <w:uiPriority w:val="99"/>
    <w:qFormat/>
    <w:rPr>
      <w:sz w:val="20"/>
    </w:rPr>
  </w:style>
  <w:style w:type="paragraph" w:styleId="853" w:customStyle="1">
    <w:name w:val="TOC Heading"/>
    <w:uiPriority w:val="39"/>
    <w:unhideWhenUsed/>
    <w:qFormat/>
    <w:rPr>
      <w:rFonts w:hint="default" w:ascii="Calibri" w:hAnsi="Calibri" w:eastAsia="宋体" w:cs="Times New Roman"/>
    </w:rPr>
  </w:style>
  <w:style w:type="paragraph" w:styleId="854" w:customStyle="1">
    <w:name w:val="标题 21"/>
    <w:basedOn w:val="658"/>
    <w:next w:val="658"/>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55" w:customStyle="1">
    <w:name w:val="默认段落字体1"/>
    <w:link w:val="658"/>
    <w:uiPriority w:val="0"/>
    <w:semiHidden/>
    <w:qFormat/>
  </w:style>
  <w:style w:type="table" w:styleId="856" w:customStyle="1">
    <w:name w:val="普通表格1"/>
    <w:uiPriority w:val="0"/>
    <w:semiHidden/>
    <w:qFormat/>
    <w:tblPr/>
  </w:style>
  <w:style w:type="character" w:styleId="857" w:customStyle="1">
    <w:name w:val="要点1"/>
    <w:link w:val="658"/>
    <w:uiPriority w:val="0"/>
    <w:qFormat/>
    <w:rPr>
      <w:rFonts w:ascii="Times New Roman" w:hAnsi="Times New Roman" w:eastAsia="宋体" w:cs="Times New Roman"/>
      <w:b/>
    </w:rPr>
  </w:style>
  <w:style w:type="character" w:styleId="858" w:customStyle="1">
    <w:name w:val="超链接1"/>
    <w:link w:val="658"/>
    <w:uiPriority w:val="0"/>
    <w:qFormat/>
    <w:rPr>
      <w:color w:val="333333"/>
      <w:u w:val="none"/>
    </w:rPr>
  </w:style>
  <w:style w:type="character" w:styleId="859" w:customStyle="1">
    <w:name w:val="强调1"/>
    <w:link w:val="658"/>
    <w:uiPriority w:val="0"/>
    <w:qFormat/>
  </w:style>
  <w:style w:type="character" w:styleId="860" w:customStyle="1">
    <w:name w:val="font31"/>
    <w:link w:val="658"/>
    <w:uiPriority w:val="0"/>
    <w:qFormat/>
    <w:rPr>
      <w:rFonts w:ascii="Times New Roman" w:hAnsi="Times New Roman" w:cs="Times New Roman"/>
      <w:color w:val="000000"/>
      <w:sz w:val="22"/>
      <w:szCs w:val="22"/>
      <w:u w:val="none"/>
    </w:rPr>
  </w:style>
  <w:style w:type="character" w:styleId="861" w:customStyle="1">
    <w:name w:val="font91"/>
    <w:link w:val="658"/>
    <w:uiPriority w:val="0"/>
    <w:qFormat/>
    <w:rPr>
      <w:rFonts w:ascii="Times New Roman" w:hAnsi="Times New Roman" w:cs="Times New Roman"/>
      <w:color w:val="000000"/>
      <w:sz w:val="22"/>
      <w:szCs w:val="22"/>
      <w:u w:val="none"/>
    </w:rPr>
  </w:style>
  <w:style w:type="character" w:styleId="862" w:customStyle="1">
    <w:name w:val="已访问的超链接1"/>
    <w:link w:val="658"/>
    <w:uiPriority w:val="0"/>
    <w:qFormat/>
    <w:rPr>
      <w:color w:val="333333"/>
      <w:u w:val="none"/>
    </w:rPr>
  </w:style>
  <w:style w:type="character" w:styleId="863" w:customStyle="1">
    <w:name w:val="页码1"/>
    <w:link w:val="658"/>
    <w:uiPriority w:val="0"/>
    <w:qFormat/>
  </w:style>
  <w:style w:type="character" w:styleId="864" w:customStyle="1">
    <w:name w:val="font21"/>
    <w:basedOn w:val="668"/>
    <w:link w:val="658"/>
    <w:uiPriority w:val="0"/>
    <w:qFormat/>
    <w:rPr>
      <w:rFonts w:ascii="Times New Roman" w:hAnsi="Times New Roman" w:cs="Times New Roman"/>
      <w:color w:val="000000"/>
      <w:sz w:val="22"/>
      <w:szCs w:val="22"/>
      <w:u w:val="none"/>
    </w:rPr>
  </w:style>
  <w:style w:type="character" w:styleId="865" w:customStyle="1">
    <w:name w:val="font61"/>
    <w:basedOn w:val="668"/>
    <w:link w:val="658"/>
    <w:uiPriority w:val="0"/>
    <w:qFormat/>
    <w:rPr>
      <w:rFonts w:hint="eastAsia" w:ascii="宋体" w:hAnsi="宋体" w:eastAsia="宋体" w:cs="宋体"/>
      <w:color w:val="000000"/>
      <w:sz w:val="22"/>
      <w:szCs w:val="22"/>
      <w:u w:val="none"/>
    </w:rPr>
  </w:style>
  <w:style w:type="character" w:styleId="866" w:customStyle="1">
    <w:name w:val="font11"/>
    <w:link w:val="658"/>
    <w:uiPriority w:val="0"/>
    <w:qFormat/>
    <w:rPr>
      <w:rFonts w:hint="eastAsia" w:ascii="宋体" w:hAnsi="宋体" w:eastAsia="宋体" w:cs="宋体"/>
      <w:color w:val="000000"/>
      <w:sz w:val="20"/>
      <w:szCs w:val="20"/>
      <w:u w:val="none"/>
    </w:rPr>
  </w:style>
  <w:style w:type="character" w:styleId="867" w:customStyle="1">
    <w:name w:val="font41"/>
    <w:link w:val="658"/>
    <w:uiPriority w:val="0"/>
    <w:qFormat/>
    <w:rPr>
      <w:rFonts w:ascii="Times New Roman" w:hAnsi="Times New Roman" w:cs="Times New Roman"/>
      <w:color w:val="000000"/>
      <w:sz w:val="22"/>
      <w:szCs w:val="22"/>
      <w:u w:val="none"/>
    </w:rPr>
  </w:style>
  <w:style w:type="character" w:styleId="868" w:customStyle="1">
    <w:name w:val="font51"/>
    <w:link w:val="658"/>
    <w:uiPriority w:val="0"/>
    <w:qFormat/>
    <w:rPr>
      <w:rFonts w:ascii="Times New Roman" w:hAnsi="Times New Roman" w:cs="Times New Roman"/>
      <w:color w:val="000000"/>
      <w:sz w:val="22"/>
      <w:szCs w:val="22"/>
      <w:u w:val="none"/>
    </w:rPr>
  </w:style>
  <w:style w:type="character" w:styleId="869" w:customStyle="1">
    <w:name w:val="批注框文本 Char"/>
    <w:link w:val="870"/>
    <w:uiPriority w:val="0"/>
    <w:qFormat/>
    <w:rPr>
      <w:sz w:val="18"/>
      <w:szCs w:val="18"/>
    </w:rPr>
  </w:style>
  <w:style w:type="paragraph" w:styleId="870" w:customStyle="1">
    <w:name w:val="批注框文本1"/>
    <w:basedOn w:val="658"/>
    <w:link w:val="869"/>
    <w:uiPriority w:val="0"/>
    <w:qFormat/>
    <w:rPr>
      <w:sz w:val="18"/>
      <w:szCs w:val="18"/>
    </w:rPr>
  </w:style>
  <w:style w:type="character" w:styleId="871" w:customStyle="1">
    <w:name w:val="NormalCharacter1"/>
    <w:link w:val="658"/>
    <w:uiPriority w:val="0"/>
    <w:qFormat/>
  </w:style>
  <w:style w:type="character" w:styleId="872" w:customStyle="1">
    <w:name w:val="font81"/>
    <w:basedOn w:val="668"/>
    <w:link w:val="658"/>
    <w:uiPriority w:val="0"/>
    <w:qFormat/>
    <w:rPr>
      <w:rFonts w:hint="eastAsia" w:ascii="宋体" w:hAnsi="宋体" w:eastAsia="宋体" w:cs="宋体"/>
      <w:color w:val="000000"/>
      <w:sz w:val="22"/>
      <w:szCs w:val="22"/>
      <w:u w:val="none"/>
    </w:rPr>
  </w:style>
  <w:style w:type="character" w:styleId="873" w:customStyle="1">
    <w:name w:val="font71"/>
    <w:link w:val="658"/>
    <w:uiPriority w:val="0"/>
    <w:qFormat/>
    <w:rPr>
      <w:rFonts w:hint="eastAsia" w:ascii="宋体" w:hAnsi="宋体" w:eastAsia="宋体" w:cs="宋体"/>
      <w:color w:val="000000"/>
      <w:sz w:val="22"/>
      <w:szCs w:val="22"/>
      <w:u w:val="none"/>
    </w:rPr>
  </w:style>
  <w:style w:type="character" w:styleId="874" w:customStyle="1">
    <w:name w:val="font01"/>
    <w:basedOn w:val="668"/>
    <w:link w:val="658"/>
    <w:uiPriority w:val="0"/>
    <w:qFormat/>
    <w:rPr>
      <w:rFonts w:ascii="Times New Roman" w:hAnsi="Times New Roman" w:cs="Times New Roman"/>
      <w:color w:val="000000"/>
      <w:sz w:val="22"/>
      <w:szCs w:val="22"/>
      <w:u w:val="none"/>
    </w:rPr>
  </w:style>
  <w:style w:type="paragraph" w:styleId="875" w:customStyle="1">
    <w:name w:val="正文文本缩进 31"/>
    <w:basedOn w:val="658"/>
    <w:uiPriority w:val="0"/>
    <w:qFormat/>
    <w:pPr>
      <w:ind w:firstLine="480"/>
      <w:jc w:val="left"/>
      <w:spacing w:line="440" w:lineRule="atLeast"/>
    </w:pPr>
    <w:rPr>
      <w:rFonts w:ascii="Times New Roman" w:hAnsi="Times New Roman"/>
      <w:sz w:val="24"/>
    </w:rPr>
  </w:style>
  <w:style w:type="paragraph" w:styleId="876" w:customStyle="1">
    <w:name w:val="正文首行缩进 21"/>
    <w:basedOn w:val="877"/>
    <w:uiPriority w:val="99"/>
    <w:unhideWhenUsed/>
    <w:qFormat/>
    <w:pPr>
      <w:ind w:firstLine="420"/>
    </w:pPr>
  </w:style>
  <w:style w:type="paragraph" w:styleId="877" w:customStyle="1">
    <w:name w:val="正文文本缩进1"/>
    <w:basedOn w:val="658"/>
    <w:next w:val="702"/>
    <w:uiPriority w:val="0"/>
    <w:unhideWhenUsed/>
    <w:qFormat/>
    <w:pPr>
      <w:ind w:left="420"/>
      <w:spacing w:after="120"/>
    </w:pPr>
  </w:style>
  <w:style w:type="paragraph" w:styleId="878" w:customStyle="1">
    <w:name w:val="纯文本111"/>
    <w:basedOn w:val="658"/>
    <w:uiPriority w:val="0"/>
    <w:qFormat/>
    <w:pPr>
      <w:jc w:val="left"/>
      <w:widowControl/>
    </w:pPr>
    <w:rPr>
      <w:rFonts w:ascii="宋体" w:hAnsi="Courier New" w:eastAsia="楷体_GB2312" w:cs="Times New Roman"/>
      <w:sz w:val="26"/>
    </w:rPr>
  </w:style>
  <w:style w:type="paragraph" w:styleId="879" w:customStyle="1">
    <w:name w:val="正文文本1"/>
    <w:basedOn w:val="658"/>
    <w:next w:val="880"/>
    <w:uiPriority w:val="0"/>
    <w:qFormat/>
    <w:pPr>
      <w:spacing w:line="400" w:lineRule="exact"/>
    </w:pPr>
    <w:rPr>
      <w:rFonts w:ascii="楷体_GB2312" w:hAnsi="Times New Roman" w:eastAsia="楷体_GB2312" w:cs="Times New Roman"/>
      <w:sz w:val="28"/>
      <w:szCs w:val="20"/>
    </w:rPr>
  </w:style>
  <w:style w:type="paragraph" w:styleId="880" w:customStyle="1">
    <w:name w:val="正文缩进1"/>
    <w:basedOn w:val="658"/>
    <w:next w:val="658"/>
    <w:uiPriority w:val="0"/>
    <w:qFormat/>
    <w:pPr>
      <w:ind w:firstLine="420"/>
      <w:jc w:val="left"/>
    </w:pPr>
    <w:rPr>
      <w:rFonts w:ascii="Times New Roman" w:hAnsi="Times New Roman" w:eastAsia="楷体_GB2312" w:cs="Times New Roman"/>
      <w:sz w:val="24"/>
      <w:szCs w:val="20"/>
    </w:rPr>
  </w:style>
  <w:style w:type="paragraph" w:styleId="881" w:customStyle="1">
    <w:name w:val="目录 11"/>
    <w:basedOn w:val="658"/>
    <w:next w:val="658"/>
    <w:uiPriority w:val="0"/>
    <w:qFormat/>
    <w:pPr>
      <w:jc w:val="left"/>
    </w:pPr>
    <w:rPr>
      <w:rFonts w:ascii="Times New Roman" w:hAnsi="Times New Roman" w:eastAsia="楷体_GB2312" w:cs="Times New Roman"/>
      <w:sz w:val="24"/>
      <w:szCs w:val="20"/>
    </w:rPr>
  </w:style>
  <w:style w:type="paragraph" w:styleId="882" w:customStyle="1">
    <w:name w:val="页眉1"/>
    <w:basedOn w:val="65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3" w:customStyle="1">
    <w:name w:val="文档结构图1"/>
    <w:basedOn w:val="658"/>
    <w:uiPriority w:val="99"/>
    <w:qFormat/>
    <w:pPr>
      <w:shd w:val="clear" w:color="auto" w:fill="000080"/>
    </w:pPr>
  </w:style>
  <w:style w:type="paragraph" w:styleId="884" w:customStyle="1">
    <w:name w:val="列表1"/>
    <w:basedOn w:val="658"/>
    <w:uiPriority w:val="0"/>
    <w:qFormat/>
    <w:pPr>
      <w:jc w:val="center"/>
      <w:spacing w:line="20" w:lineRule="atLeast"/>
    </w:pPr>
    <w:rPr>
      <w:rFonts w:ascii="Arial" w:hAnsi="Arial" w:eastAsia="幼圆_GB2312"/>
      <w:sz w:val="18"/>
      <w:szCs w:val="24"/>
    </w:rPr>
  </w:style>
  <w:style w:type="paragraph" w:styleId="885" w:customStyle="1">
    <w:name w:val="正文文本缩进 21"/>
    <w:basedOn w:val="658"/>
    <w:uiPriority w:val="0"/>
    <w:qFormat/>
    <w:pPr>
      <w:ind w:left="1" w:firstLine="480"/>
      <w:spacing w:line="400" w:lineRule="exact"/>
      <w:tabs>
        <w:tab w:val="left" w:pos="360" w:leader="none"/>
      </w:tabs>
    </w:pPr>
    <w:rPr>
      <w:rFonts w:ascii="Times New Roman" w:hAnsi="Times New Roman" w:cs="Times New Roman"/>
      <w:sz w:val="24"/>
    </w:rPr>
  </w:style>
  <w:style w:type="paragraph" w:styleId="886"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887" w:customStyle="1">
    <w:name w:val="普通(网站)1"/>
    <w:basedOn w:val="658"/>
    <w:uiPriority w:val="99"/>
    <w:qFormat/>
    <w:pPr>
      <w:jc w:val="left"/>
      <w:spacing w:beforeAutospacing="1" w:afterAutospacing="1"/>
    </w:pPr>
    <w:rPr>
      <w:rFonts w:ascii="Times New Roman" w:hAnsi="Times New Roman" w:cs="Times New Roman"/>
      <w:sz w:val="24"/>
    </w:rPr>
  </w:style>
  <w:style w:type="paragraph" w:styleId="888" w:customStyle="1">
    <w:name w:val="页脚1"/>
    <w:basedOn w:val="658"/>
    <w:uiPriority w:val="0"/>
    <w:qFormat/>
    <w:pPr>
      <w:jc w:val="left"/>
      <w:tabs>
        <w:tab w:val="center" w:pos="4153" w:leader="none"/>
        <w:tab w:val="right" w:pos="8306" w:leader="none"/>
      </w:tabs>
    </w:pPr>
    <w:rPr>
      <w:sz w:val="18"/>
    </w:rPr>
  </w:style>
  <w:style w:type="paragraph" w:styleId="889" w:customStyle="1">
    <w:name w:val="p0"/>
    <w:basedOn w:val="658"/>
    <w:uiPriority w:val="0"/>
    <w:qFormat/>
    <w:rPr>
      <w:rFonts w:ascii="Times New Roman" w:hAnsi="Times New Roman"/>
      <w:szCs w:val="24"/>
    </w:rPr>
  </w:style>
  <w:style w:type="paragraph" w:styleId="890" w:customStyle="1">
    <w:name w:val="PlainText1"/>
    <w:basedOn w:val="658"/>
    <w:uiPriority w:val="0"/>
    <w:qFormat/>
    <w:rPr>
      <w:rFonts w:ascii="宋体" w:hAnsi="Courier New" w:eastAsia="楷体_GB2312"/>
      <w:sz w:val="28"/>
    </w:rPr>
  </w:style>
  <w:style w:type="paragraph" w:styleId="891" w:customStyle="1">
    <w:name w:val="纯文本2"/>
    <w:basedOn w:val="658"/>
    <w:uiPriority w:val="0"/>
    <w:qFormat/>
    <w:rPr>
      <w:rFonts w:ascii="宋体" w:hAnsi="Courier New" w:eastAsia="宋体" w:cs="Times New Roman"/>
    </w:rPr>
  </w:style>
  <w:style w:type="paragraph" w:styleId="892" w:customStyle="1">
    <w:name w:val="Plain Text1"/>
    <w:basedOn w:val="658"/>
    <w:uiPriority w:val="0"/>
    <w:qFormat/>
    <w:rPr>
      <w:rFonts w:ascii="宋体" w:hAnsi="Courier New" w:eastAsia="宋体" w:cs="Times New Roman"/>
      <w:sz w:val="26"/>
      <w:szCs w:val="20"/>
    </w:rPr>
  </w:style>
  <w:style w:type="paragraph" w:styleId="893" w:customStyle="1">
    <w:name w:val="纯文本4"/>
    <w:basedOn w:val="658"/>
    <w:uiPriority w:val="0"/>
    <w:qFormat/>
    <w:rPr>
      <w:rFonts w:ascii="宋体" w:hAnsi="Courier New" w:eastAsia="楷体_GB2312" w:cs="Times New Roman"/>
      <w:sz w:val="26"/>
      <w:szCs w:val="20"/>
    </w:rPr>
  </w:style>
  <w:style w:type="paragraph" w:styleId="894" w:customStyle="1">
    <w:name w:val="纯文本1"/>
    <w:basedOn w:val="658"/>
    <w:uiPriority w:val="0"/>
    <w:qFormat/>
    <w:rPr>
      <w:rFonts w:ascii="宋体" w:hAnsi="Courier New" w:eastAsia="楷体_GB2312" w:cs="Times New Roman"/>
      <w:sz w:val="28"/>
      <w:szCs w:val="20"/>
    </w:rPr>
  </w:style>
  <w:style w:type="paragraph" w:styleId="895" w:customStyle="1">
    <w:name w:val="首行缩进"/>
    <w:basedOn w:val="658"/>
    <w:uiPriority w:val="0"/>
    <w:qFormat/>
    <w:pPr>
      <w:ind w:firstLine="480"/>
    </w:pPr>
    <w:rPr>
      <w:rFonts w:ascii="Times New Roman" w:hAnsi="Times New Roman" w:cs="Times New Roman"/>
      <w:lang w:val="zh-CN"/>
    </w:rPr>
  </w:style>
  <w:style w:type="paragraph" w:styleId="896" w:customStyle="1">
    <w:name w:val="纯文本11"/>
    <w:basedOn w:val="658"/>
    <w:uiPriority w:val="0"/>
    <w:qFormat/>
    <w:pPr>
      <w:jc w:val="left"/>
      <w:widowControl/>
    </w:pPr>
    <w:rPr>
      <w:rFonts w:ascii="宋体" w:hAnsi="Courier New" w:eastAsia="楷体_GB2312"/>
      <w:sz w:val="26"/>
      <w:szCs w:val="20"/>
    </w:rPr>
  </w:style>
  <w:style w:type="paragraph" w:styleId="897" w:customStyle="1">
    <w:name w:val="列出段落1"/>
    <w:basedOn w:val="658"/>
    <w:uiPriority w:val="34"/>
    <w:qFormat/>
    <w:pPr>
      <w:ind w:firstLine="420"/>
    </w:pPr>
  </w:style>
  <w:style w:type="table" w:styleId="898" w:customStyle="1">
    <w:name w:val="网格型1"/>
    <w:basedOn w:val="856"/>
    <w:uiPriority w:val="59"/>
    <w:qFormat/>
    <w:pPr>
      <w:jc w:val="both"/>
      <w:widowControl w:val="off"/>
    </w:pPr>
    <w:rPr>
      <w:rFonts w:ascii="Times New Roman" w:hAnsi="Times New Roman" w:eastAsia="宋体" w:cs="Times New Roman"/>
      <w:sz w:val="20"/>
      <w:szCs w:val="20"/>
    </w:rPr>
    <w:tblPr/>
  </w:style>
  <w:style w:type="paragraph" w:styleId="899" w:customStyle="1">
    <w:name w:val="Default"/>
    <w:uiPriority w:val="0"/>
    <w:qFormat/>
    <w:pPr>
      <w:widowControl w:val="off"/>
    </w:pPr>
    <w:rPr>
      <w:rFonts w:ascii="宋体" w:hAnsi="宋体" w:eastAsia="宋体" w:cs="宋体"/>
      <w:color w:val="000000"/>
      <w:sz w:val="24"/>
      <w:szCs w:val="24"/>
      <w:lang w:val="en-US" w:eastAsia="zh-CN" w:bidi="ar-SA"/>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曹玲</cp:lastModifiedBy>
  <cp:revision>10</cp:revision>
  <dcterms:created xsi:type="dcterms:W3CDTF">2023-11-15T00:51:00Z</dcterms:created>
  <dcterms:modified xsi:type="dcterms:W3CDTF">2025-11-10T08:48:26Z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524D6ECEA5EF4DB38DE447C74CDAF389_13</vt:lpwstr>
  </property>
</Properties>
</file>